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8D968E2" w14:textId="77777777" w:rsidR="00641054" w:rsidRPr="008308E2" w:rsidRDefault="009974F8" w:rsidP="008308E2">
      <w:pPr>
        <w:autoSpaceDE/>
        <w:autoSpaceDN/>
        <w:adjustRightInd/>
        <w:spacing w:after="0"/>
        <w:ind w:right="-330"/>
        <w:rPr>
          <w:rFonts w:cs="Arial"/>
        </w:rPr>
        <w:sectPr w:rsidR="00641054" w:rsidRPr="008308E2" w:rsidSect="00B81DFC">
          <w:headerReference w:type="even" r:id="rId8"/>
          <w:headerReference w:type="default" r:id="rId9"/>
          <w:footerReference w:type="even" r:id="rId10"/>
          <w:footerReference w:type="default" r:id="rId11"/>
          <w:headerReference w:type="first" r:id="rId12"/>
          <w:footerReference w:type="first" r:id="rId13"/>
          <w:pgSz w:w="11900" w:h="16840" w:code="9"/>
          <w:pgMar w:top="1361" w:right="1361" w:bottom="1361" w:left="1361" w:header="709" w:footer="709" w:gutter="0"/>
          <w:cols w:space="292"/>
          <w:titlePg/>
          <w:docGrid w:linePitch="326"/>
        </w:sectPr>
      </w:pPr>
      <w:r w:rsidRPr="008308E2">
        <w:rPr>
          <w:rFonts w:cs="Arial"/>
          <w:noProof/>
          <w:lang w:eastAsia="en-GB"/>
        </w:rPr>
        <mc:AlternateContent>
          <mc:Choice Requires="wps">
            <w:drawing>
              <wp:anchor distT="0" distB="0" distL="114300" distR="114300" simplePos="0" relativeHeight="251657728" behindDoc="0" locked="0" layoutInCell="1" allowOverlap="1" wp14:anchorId="19DBC933" wp14:editId="1FC2719C">
                <wp:simplePos x="0" y="0"/>
                <wp:positionH relativeFrom="column">
                  <wp:posOffset>-464185</wp:posOffset>
                </wp:positionH>
                <wp:positionV relativeFrom="paragraph">
                  <wp:posOffset>5765165</wp:posOffset>
                </wp:positionV>
                <wp:extent cx="7002145" cy="2209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14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853D9" w14:textId="77777777" w:rsidR="00355458" w:rsidRDefault="00355458" w:rsidP="0037393E">
                            <w:pPr>
                              <w:spacing w:after="0"/>
                              <w:ind w:right="-46"/>
                              <w:jc w:val="left"/>
                              <w:rPr>
                                <w:rFonts w:cs="Arial"/>
                                <w:b/>
                                <w:bCs/>
                                <w:sz w:val="52"/>
                                <w:szCs w:val="52"/>
                              </w:rPr>
                            </w:pPr>
                          </w:p>
                          <w:p w14:paraId="76B5A5D0" w14:textId="77777777" w:rsidR="00355458" w:rsidRPr="0037393E" w:rsidRDefault="00355458" w:rsidP="0037393E">
                            <w:pPr>
                              <w:spacing w:after="0"/>
                              <w:ind w:right="-46"/>
                              <w:jc w:val="left"/>
                              <w:rPr>
                                <w:rFonts w:cs="Arial"/>
                                <w:b/>
                                <w:bCs/>
                                <w:sz w:val="52"/>
                                <w:szCs w:val="52"/>
                              </w:rPr>
                            </w:pPr>
                          </w:p>
                          <w:p w14:paraId="31A711AD" w14:textId="77777777" w:rsidR="00355458" w:rsidRDefault="00355458" w:rsidP="0037393E">
                            <w:pPr>
                              <w:spacing w:after="0"/>
                              <w:ind w:right="-46"/>
                              <w:jc w:val="left"/>
                              <w:rPr>
                                <w:rFonts w:cs="Arial"/>
                                <w:b/>
                                <w:bCs/>
                                <w:sz w:val="52"/>
                                <w:szCs w:val="52"/>
                              </w:rPr>
                            </w:pPr>
                            <w:r>
                              <w:rPr>
                                <w:rFonts w:cs="Arial"/>
                                <w:b/>
                                <w:bCs/>
                                <w:sz w:val="52"/>
                                <w:szCs w:val="52"/>
                              </w:rPr>
                              <w:t>Money Matters</w:t>
                            </w:r>
                          </w:p>
                          <w:p w14:paraId="715DF016" w14:textId="630BBBF1" w:rsidR="00355458" w:rsidRDefault="00355458" w:rsidP="0037393E">
                            <w:pPr>
                              <w:spacing w:after="0"/>
                              <w:ind w:right="-46"/>
                              <w:jc w:val="left"/>
                              <w:rPr>
                                <w:rFonts w:cs="Arial"/>
                                <w:b/>
                                <w:bCs/>
                                <w:sz w:val="52"/>
                                <w:szCs w:val="52"/>
                              </w:rPr>
                            </w:pPr>
                            <w:r>
                              <w:rPr>
                                <w:rFonts w:cs="Arial"/>
                                <w:b/>
                                <w:bCs/>
                                <w:sz w:val="52"/>
                                <w:szCs w:val="52"/>
                              </w:rPr>
                              <w:t>Update on the County Council's Reserves Position as at 31</w:t>
                            </w:r>
                            <w:r w:rsidRPr="00D421CC">
                              <w:rPr>
                                <w:rFonts w:cs="Arial"/>
                                <w:b/>
                                <w:bCs/>
                                <w:sz w:val="52"/>
                                <w:szCs w:val="52"/>
                                <w:vertAlign w:val="superscript"/>
                              </w:rPr>
                              <w:t>st</w:t>
                            </w:r>
                            <w:r>
                              <w:rPr>
                                <w:rFonts w:cs="Arial"/>
                                <w:b/>
                                <w:bCs/>
                                <w:sz w:val="52"/>
                                <w:szCs w:val="52"/>
                              </w:rPr>
                              <w:t xml:space="preserve"> December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BC933" id="_x0000_t202" coordsize="21600,21600" o:spt="202" path="m,l,21600r21600,l21600,xe">
                <v:stroke joinstyle="miter"/>
                <v:path gradientshapeok="t" o:connecttype="rect"/>
              </v:shapetype>
              <v:shape id="Text Box 4" o:spid="_x0000_s1026" type="#_x0000_t202" style="position:absolute;left:0;text-align:left;margin-left:-36.55pt;margin-top:453.95pt;width:551.35pt;height:1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" filled="f" stroked="f">
                <v:textbox>
                  <w:txbxContent>
                    <w:p w14:paraId="69F853D9" w14:textId="77777777" w:rsidR="00355458" w:rsidRDefault="00355458" w:rsidP="0037393E">
                      <w:pPr>
                        <w:spacing w:after="0"/>
                        <w:ind w:right="-46"/>
                        <w:jc w:val="left"/>
                        <w:rPr>
                          <w:rFonts w:cs="Arial"/>
                          <w:b/>
                          <w:bCs/>
                          <w:sz w:val="52"/>
                          <w:szCs w:val="52"/>
                        </w:rPr>
                      </w:pPr>
                    </w:p>
                    <w:p w14:paraId="76B5A5D0" w14:textId="77777777" w:rsidR="00355458" w:rsidRPr="0037393E" w:rsidRDefault="00355458" w:rsidP="0037393E">
                      <w:pPr>
                        <w:spacing w:after="0"/>
                        <w:ind w:right="-46"/>
                        <w:jc w:val="left"/>
                        <w:rPr>
                          <w:rFonts w:cs="Arial"/>
                          <w:b/>
                          <w:bCs/>
                          <w:sz w:val="52"/>
                          <w:szCs w:val="52"/>
                        </w:rPr>
                      </w:pPr>
                    </w:p>
                    <w:p w14:paraId="31A711AD" w14:textId="77777777" w:rsidR="00355458" w:rsidRDefault="00355458" w:rsidP="0037393E">
                      <w:pPr>
                        <w:spacing w:after="0"/>
                        <w:ind w:right="-46"/>
                        <w:jc w:val="left"/>
                        <w:rPr>
                          <w:rFonts w:cs="Arial"/>
                          <w:b/>
                          <w:bCs/>
                          <w:sz w:val="52"/>
                          <w:szCs w:val="52"/>
                        </w:rPr>
                      </w:pPr>
                      <w:r>
                        <w:rPr>
                          <w:rFonts w:cs="Arial"/>
                          <w:b/>
                          <w:bCs/>
                          <w:sz w:val="52"/>
                          <w:szCs w:val="52"/>
                        </w:rPr>
                        <w:t>Money Matters</w:t>
                      </w:r>
                    </w:p>
                    <w:p w14:paraId="715DF016" w14:textId="630BBBF1" w:rsidR="00355458" w:rsidRDefault="00355458" w:rsidP="0037393E">
                      <w:pPr>
                        <w:spacing w:after="0"/>
                        <w:ind w:right="-46"/>
                        <w:jc w:val="left"/>
                        <w:rPr>
                          <w:rFonts w:cs="Arial"/>
                          <w:b/>
                          <w:bCs/>
                          <w:sz w:val="52"/>
                          <w:szCs w:val="52"/>
                        </w:rPr>
                      </w:pPr>
                      <w:r>
                        <w:rPr>
                          <w:rFonts w:cs="Arial"/>
                          <w:b/>
                          <w:bCs/>
                          <w:sz w:val="52"/>
                          <w:szCs w:val="52"/>
                        </w:rPr>
                        <w:t>Update on the County Council's Reserves Position as at 31</w:t>
                      </w:r>
                      <w:r w:rsidRPr="00D421CC">
                        <w:rPr>
                          <w:rFonts w:cs="Arial"/>
                          <w:b/>
                          <w:bCs/>
                          <w:sz w:val="52"/>
                          <w:szCs w:val="52"/>
                          <w:vertAlign w:val="superscript"/>
                        </w:rPr>
                        <w:t>st</w:t>
                      </w:r>
                      <w:r>
                        <w:rPr>
                          <w:rFonts w:cs="Arial"/>
                          <w:b/>
                          <w:bCs/>
                          <w:sz w:val="52"/>
                          <w:szCs w:val="52"/>
                        </w:rPr>
                        <w:t xml:space="preserve"> December 2016</w:t>
                      </w:r>
                    </w:p>
                  </w:txbxContent>
                </v:textbox>
              </v:shape>
            </w:pict>
          </mc:Fallback>
        </mc:AlternateContent>
      </w:r>
    </w:p>
    <w:tbl>
      <w:tblPr>
        <w:tblStyle w:val="TableGrid"/>
        <w:tblW w:w="0" w:type="auto"/>
        <w:jc w:val="center"/>
        <w:tblLook w:val="04A0" w:firstRow="1" w:lastRow="0" w:firstColumn="1" w:lastColumn="0" w:noHBand="0" w:noVBand="1"/>
      </w:tblPr>
      <w:tblGrid>
        <w:gridCol w:w="6705"/>
        <w:gridCol w:w="2311"/>
      </w:tblGrid>
      <w:tr w:rsidR="00A31B9F" w14:paraId="1B9D2DA0" w14:textId="77777777" w:rsidTr="00FC66D8">
        <w:trPr>
          <w:jc w:val="center"/>
        </w:trPr>
        <w:tc>
          <w:tcPr>
            <w:tcW w:w="6705" w:type="dxa"/>
          </w:tcPr>
          <w:p w14:paraId="67995C6C" w14:textId="77777777" w:rsidR="00A31B9F" w:rsidRDefault="00A31B9F" w:rsidP="00FC192A">
            <w:pPr>
              <w:spacing w:after="0"/>
              <w:ind w:right="-46"/>
              <w:jc w:val="center"/>
              <w:rPr>
                <w:rFonts w:cs="Arial"/>
                <w:b/>
                <w:bCs/>
                <w:sz w:val="26"/>
                <w:szCs w:val="26"/>
              </w:rPr>
            </w:pPr>
          </w:p>
          <w:p w14:paraId="017B8F87" w14:textId="77777777" w:rsidR="00A31B9F" w:rsidRPr="00E775EA" w:rsidRDefault="00A31B9F" w:rsidP="00FC192A">
            <w:pPr>
              <w:spacing w:after="0"/>
              <w:ind w:right="-46"/>
              <w:jc w:val="center"/>
              <w:rPr>
                <w:rFonts w:cs="Arial"/>
                <w:b/>
                <w:bCs/>
                <w:sz w:val="26"/>
                <w:szCs w:val="26"/>
              </w:rPr>
            </w:pPr>
            <w:r w:rsidRPr="00E775EA">
              <w:rPr>
                <w:rFonts w:cs="Arial"/>
                <w:b/>
                <w:bCs/>
                <w:sz w:val="26"/>
                <w:szCs w:val="26"/>
              </w:rPr>
              <w:t>Contents</w:t>
            </w:r>
          </w:p>
          <w:p w14:paraId="7C3DDDEB" w14:textId="77777777" w:rsidR="00A31B9F" w:rsidRPr="00E775EA" w:rsidRDefault="00A31B9F" w:rsidP="00FC192A">
            <w:pPr>
              <w:spacing w:after="0"/>
              <w:ind w:right="-46"/>
              <w:jc w:val="center"/>
              <w:rPr>
                <w:rFonts w:cs="Arial"/>
                <w:b/>
                <w:bCs/>
                <w:sz w:val="26"/>
                <w:szCs w:val="26"/>
              </w:rPr>
            </w:pPr>
          </w:p>
        </w:tc>
        <w:tc>
          <w:tcPr>
            <w:tcW w:w="2311" w:type="dxa"/>
          </w:tcPr>
          <w:p w14:paraId="6C778332" w14:textId="77777777" w:rsidR="00A31B9F" w:rsidRDefault="00A31B9F" w:rsidP="00FC192A">
            <w:pPr>
              <w:spacing w:after="0"/>
              <w:ind w:right="-46"/>
              <w:jc w:val="center"/>
              <w:rPr>
                <w:rFonts w:cs="Arial"/>
                <w:b/>
                <w:bCs/>
                <w:sz w:val="26"/>
                <w:szCs w:val="26"/>
              </w:rPr>
            </w:pPr>
          </w:p>
          <w:p w14:paraId="3FF10016" w14:textId="77777777" w:rsidR="00A31B9F" w:rsidRPr="00E775EA" w:rsidRDefault="00A31B9F" w:rsidP="00FC192A">
            <w:pPr>
              <w:spacing w:after="0"/>
              <w:ind w:right="-46"/>
              <w:jc w:val="center"/>
              <w:rPr>
                <w:rFonts w:cs="Arial"/>
                <w:b/>
                <w:bCs/>
                <w:sz w:val="26"/>
                <w:szCs w:val="26"/>
              </w:rPr>
            </w:pPr>
            <w:r w:rsidRPr="00E775EA">
              <w:rPr>
                <w:rFonts w:cs="Arial"/>
                <w:b/>
                <w:bCs/>
                <w:sz w:val="26"/>
                <w:szCs w:val="26"/>
              </w:rPr>
              <w:t>Page</w:t>
            </w:r>
          </w:p>
        </w:tc>
      </w:tr>
      <w:tr w:rsidR="00A31B9F" w14:paraId="7937FF5A" w14:textId="77777777" w:rsidTr="00FC66D8">
        <w:trPr>
          <w:jc w:val="center"/>
        </w:trPr>
        <w:tc>
          <w:tcPr>
            <w:tcW w:w="6705" w:type="dxa"/>
          </w:tcPr>
          <w:p w14:paraId="77EC2099" w14:textId="77777777" w:rsidR="00A31B9F" w:rsidRDefault="00A31B9F" w:rsidP="00FC192A">
            <w:pPr>
              <w:tabs>
                <w:tab w:val="left" w:pos="738"/>
                <w:tab w:val="left" w:pos="880"/>
                <w:tab w:val="left" w:pos="1777"/>
              </w:tabs>
              <w:spacing w:after="0"/>
              <w:ind w:right="-46"/>
              <w:rPr>
                <w:rFonts w:cs="Arial"/>
                <w:b/>
                <w:bCs/>
              </w:rPr>
            </w:pPr>
          </w:p>
          <w:p w14:paraId="38AB86BE" w14:textId="7F16598C" w:rsidR="004532BC" w:rsidRDefault="00492941" w:rsidP="00FC192A">
            <w:pPr>
              <w:tabs>
                <w:tab w:val="left" w:pos="738"/>
                <w:tab w:val="left" w:pos="880"/>
                <w:tab w:val="left" w:pos="1777"/>
              </w:tabs>
              <w:spacing w:after="0"/>
              <w:ind w:right="-46"/>
              <w:rPr>
                <w:rFonts w:cs="Arial"/>
                <w:b/>
                <w:bCs/>
              </w:rPr>
            </w:pPr>
            <w:r>
              <w:rPr>
                <w:rFonts w:cs="Arial"/>
                <w:b/>
                <w:bCs/>
              </w:rPr>
              <w:t>1.</w:t>
            </w:r>
            <w:r>
              <w:rPr>
                <w:rFonts w:cs="Arial"/>
                <w:b/>
                <w:bCs/>
              </w:rPr>
              <w:tab/>
              <w:t>Executive Summary</w:t>
            </w:r>
          </w:p>
          <w:p w14:paraId="275CF5ED" w14:textId="77777777" w:rsidR="004532BC" w:rsidRPr="0071029A" w:rsidRDefault="004532BC" w:rsidP="00FC192A">
            <w:pPr>
              <w:tabs>
                <w:tab w:val="left" w:pos="738"/>
                <w:tab w:val="left" w:pos="880"/>
                <w:tab w:val="left" w:pos="1777"/>
              </w:tabs>
              <w:spacing w:after="0"/>
              <w:ind w:right="-46"/>
              <w:rPr>
                <w:rFonts w:cs="Arial"/>
                <w:b/>
                <w:bCs/>
              </w:rPr>
            </w:pPr>
          </w:p>
        </w:tc>
        <w:tc>
          <w:tcPr>
            <w:tcW w:w="2311" w:type="dxa"/>
            <w:vAlign w:val="center"/>
          </w:tcPr>
          <w:p w14:paraId="345342D7" w14:textId="7E5CBBCF" w:rsidR="00FC66D8" w:rsidRPr="0071029A" w:rsidRDefault="009A5DE2" w:rsidP="00FC66D8">
            <w:pPr>
              <w:spacing w:after="0"/>
              <w:ind w:right="-46"/>
              <w:jc w:val="center"/>
              <w:rPr>
                <w:rFonts w:cs="Arial"/>
                <w:b/>
                <w:bCs/>
              </w:rPr>
            </w:pPr>
            <w:r>
              <w:rPr>
                <w:rFonts w:cs="Arial"/>
                <w:b/>
                <w:bCs/>
              </w:rPr>
              <w:t>3</w:t>
            </w:r>
          </w:p>
        </w:tc>
      </w:tr>
      <w:tr w:rsidR="00A31B9F" w14:paraId="1FBDF695" w14:textId="77777777" w:rsidTr="00FC66D8">
        <w:trPr>
          <w:jc w:val="center"/>
        </w:trPr>
        <w:tc>
          <w:tcPr>
            <w:tcW w:w="6705" w:type="dxa"/>
          </w:tcPr>
          <w:p w14:paraId="63AAB7DE" w14:textId="77777777" w:rsidR="00A31B9F" w:rsidRDefault="00A31B9F" w:rsidP="00FC192A">
            <w:pPr>
              <w:tabs>
                <w:tab w:val="left" w:pos="738"/>
                <w:tab w:val="left" w:pos="1387"/>
                <w:tab w:val="left" w:pos="1762"/>
                <w:tab w:val="left" w:pos="1872"/>
              </w:tabs>
              <w:spacing w:after="0"/>
              <w:ind w:right="-46"/>
              <w:rPr>
                <w:rFonts w:cs="Arial"/>
                <w:b/>
                <w:bCs/>
              </w:rPr>
            </w:pPr>
          </w:p>
          <w:p w14:paraId="275CB85C" w14:textId="33098F0B" w:rsidR="004532BC" w:rsidRDefault="00492941" w:rsidP="00FC192A">
            <w:pPr>
              <w:tabs>
                <w:tab w:val="left" w:pos="738"/>
                <w:tab w:val="left" w:pos="1387"/>
                <w:tab w:val="left" w:pos="1762"/>
                <w:tab w:val="left" w:pos="1872"/>
              </w:tabs>
              <w:spacing w:after="0"/>
              <w:ind w:right="-46"/>
              <w:rPr>
                <w:rFonts w:cs="Arial"/>
                <w:b/>
                <w:bCs/>
              </w:rPr>
            </w:pPr>
            <w:r>
              <w:rPr>
                <w:rFonts w:cs="Arial"/>
                <w:b/>
                <w:bCs/>
              </w:rPr>
              <w:t>2</w:t>
            </w:r>
            <w:r w:rsidR="004532BC">
              <w:rPr>
                <w:rFonts w:cs="Arial"/>
                <w:b/>
                <w:bCs/>
              </w:rPr>
              <w:t>.</w:t>
            </w:r>
            <w:r w:rsidR="004532BC">
              <w:rPr>
                <w:rFonts w:cs="Arial"/>
                <w:b/>
                <w:bCs/>
              </w:rPr>
              <w:tab/>
              <w:t>Reserves</w:t>
            </w:r>
          </w:p>
          <w:p w14:paraId="2B196CCD" w14:textId="77777777" w:rsidR="004532BC" w:rsidRPr="0071029A" w:rsidRDefault="004532BC" w:rsidP="00FC192A">
            <w:pPr>
              <w:tabs>
                <w:tab w:val="left" w:pos="738"/>
                <w:tab w:val="left" w:pos="1387"/>
                <w:tab w:val="left" w:pos="1762"/>
                <w:tab w:val="left" w:pos="1872"/>
              </w:tabs>
              <w:spacing w:after="0"/>
              <w:ind w:right="-46"/>
              <w:rPr>
                <w:rFonts w:cs="Arial"/>
                <w:b/>
                <w:bCs/>
              </w:rPr>
            </w:pPr>
          </w:p>
        </w:tc>
        <w:tc>
          <w:tcPr>
            <w:tcW w:w="2311" w:type="dxa"/>
            <w:vAlign w:val="center"/>
          </w:tcPr>
          <w:p w14:paraId="096FC3FA" w14:textId="33379671" w:rsidR="004E2AC4" w:rsidRPr="0071029A" w:rsidRDefault="009A5DE2" w:rsidP="00FC192A">
            <w:pPr>
              <w:spacing w:after="0"/>
              <w:ind w:right="-46"/>
              <w:jc w:val="center"/>
              <w:rPr>
                <w:rFonts w:cs="Arial"/>
                <w:b/>
                <w:bCs/>
              </w:rPr>
            </w:pPr>
            <w:r>
              <w:rPr>
                <w:rFonts w:cs="Arial"/>
                <w:b/>
                <w:bCs/>
              </w:rPr>
              <w:t>5</w:t>
            </w:r>
          </w:p>
        </w:tc>
      </w:tr>
      <w:tr w:rsidR="00426D32" w14:paraId="05BF98BF" w14:textId="77777777" w:rsidTr="00FC66D8">
        <w:trPr>
          <w:jc w:val="center"/>
        </w:trPr>
        <w:tc>
          <w:tcPr>
            <w:tcW w:w="6705" w:type="dxa"/>
          </w:tcPr>
          <w:p w14:paraId="55A984C6" w14:textId="77777777" w:rsidR="00426D32" w:rsidRDefault="00426D32" w:rsidP="00FC192A">
            <w:pPr>
              <w:tabs>
                <w:tab w:val="left" w:pos="738"/>
                <w:tab w:val="left" w:pos="1387"/>
                <w:tab w:val="left" w:pos="1762"/>
                <w:tab w:val="left" w:pos="1872"/>
              </w:tabs>
              <w:spacing w:after="0"/>
              <w:ind w:right="-46"/>
              <w:rPr>
                <w:rFonts w:cs="Arial"/>
                <w:b/>
                <w:bCs/>
              </w:rPr>
            </w:pPr>
          </w:p>
          <w:p w14:paraId="6357872E" w14:textId="6690823C" w:rsidR="00426D32" w:rsidRDefault="00492941" w:rsidP="00FC192A">
            <w:pPr>
              <w:tabs>
                <w:tab w:val="left" w:pos="738"/>
                <w:tab w:val="left" w:pos="1387"/>
                <w:tab w:val="left" w:pos="1762"/>
                <w:tab w:val="left" w:pos="1872"/>
              </w:tabs>
              <w:spacing w:after="0"/>
              <w:ind w:right="-46"/>
              <w:rPr>
                <w:rFonts w:cs="Arial"/>
                <w:b/>
                <w:bCs/>
              </w:rPr>
            </w:pPr>
            <w:r>
              <w:rPr>
                <w:rFonts w:cs="Arial"/>
                <w:b/>
                <w:bCs/>
              </w:rPr>
              <w:t>3</w:t>
            </w:r>
            <w:r w:rsidR="00426D32">
              <w:rPr>
                <w:rFonts w:cs="Arial"/>
                <w:b/>
                <w:bCs/>
              </w:rPr>
              <w:t>.</w:t>
            </w:r>
            <w:r w:rsidR="00426D32">
              <w:rPr>
                <w:rFonts w:cs="Arial"/>
                <w:b/>
                <w:bCs/>
              </w:rPr>
              <w:tab/>
            </w:r>
            <w:r w:rsidR="00F91162">
              <w:rPr>
                <w:rFonts w:cs="Arial"/>
                <w:b/>
                <w:bCs/>
              </w:rPr>
              <w:t>Impact of 2016/17</w:t>
            </w:r>
            <w:r w:rsidR="00297702">
              <w:rPr>
                <w:rFonts w:cs="Arial"/>
                <w:b/>
                <w:bCs/>
              </w:rPr>
              <w:t xml:space="preserve"> Outturn Forecast</w:t>
            </w:r>
          </w:p>
          <w:p w14:paraId="2FE9D517" w14:textId="77777777" w:rsidR="00426D32" w:rsidRDefault="00426D32" w:rsidP="00FC192A">
            <w:pPr>
              <w:tabs>
                <w:tab w:val="left" w:pos="738"/>
                <w:tab w:val="left" w:pos="1387"/>
                <w:tab w:val="left" w:pos="1762"/>
                <w:tab w:val="left" w:pos="1872"/>
              </w:tabs>
              <w:spacing w:after="0"/>
              <w:ind w:right="-46"/>
              <w:rPr>
                <w:rFonts w:cs="Arial"/>
                <w:b/>
                <w:bCs/>
              </w:rPr>
            </w:pPr>
          </w:p>
        </w:tc>
        <w:tc>
          <w:tcPr>
            <w:tcW w:w="2311" w:type="dxa"/>
            <w:vAlign w:val="center"/>
          </w:tcPr>
          <w:p w14:paraId="38A0A3FB" w14:textId="76933906" w:rsidR="004E2AC4" w:rsidRDefault="009A5DE2" w:rsidP="00FC192A">
            <w:pPr>
              <w:spacing w:after="0"/>
              <w:ind w:right="-46"/>
              <w:jc w:val="center"/>
              <w:rPr>
                <w:rFonts w:cs="Arial"/>
                <w:b/>
                <w:bCs/>
              </w:rPr>
            </w:pPr>
            <w:r>
              <w:rPr>
                <w:rFonts w:cs="Arial"/>
                <w:b/>
                <w:bCs/>
              </w:rPr>
              <w:t>8</w:t>
            </w:r>
          </w:p>
        </w:tc>
      </w:tr>
      <w:tr w:rsidR="00316D5A" w14:paraId="57027CAB" w14:textId="77777777" w:rsidTr="00316D5A">
        <w:trPr>
          <w:trHeight w:val="702"/>
          <w:jc w:val="center"/>
        </w:trPr>
        <w:tc>
          <w:tcPr>
            <w:tcW w:w="6705" w:type="dxa"/>
          </w:tcPr>
          <w:p w14:paraId="4CD6A45C" w14:textId="77777777" w:rsidR="00316D5A" w:rsidRDefault="00316D5A" w:rsidP="00316D5A">
            <w:pPr>
              <w:tabs>
                <w:tab w:val="left" w:pos="738"/>
                <w:tab w:val="left" w:pos="1387"/>
                <w:tab w:val="left" w:pos="1762"/>
                <w:tab w:val="left" w:pos="1872"/>
              </w:tabs>
              <w:spacing w:after="0"/>
              <w:ind w:right="-46"/>
              <w:rPr>
                <w:rFonts w:cs="Arial"/>
                <w:b/>
                <w:bCs/>
              </w:rPr>
            </w:pPr>
          </w:p>
          <w:p w14:paraId="708581EF" w14:textId="670F3922" w:rsidR="00316D5A" w:rsidRDefault="00492941" w:rsidP="00316D5A">
            <w:pPr>
              <w:tabs>
                <w:tab w:val="left" w:pos="738"/>
                <w:tab w:val="left" w:pos="1387"/>
                <w:tab w:val="left" w:pos="1762"/>
                <w:tab w:val="left" w:pos="1872"/>
              </w:tabs>
              <w:spacing w:after="0"/>
              <w:ind w:right="-46"/>
              <w:rPr>
                <w:rFonts w:cs="Arial"/>
                <w:b/>
                <w:bCs/>
              </w:rPr>
            </w:pPr>
            <w:r>
              <w:rPr>
                <w:rFonts w:cs="Arial"/>
                <w:b/>
                <w:bCs/>
              </w:rPr>
              <w:t>4</w:t>
            </w:r>
            <w:r w:rsidR="00316D5A">
              <w:rPr>
                <w:rFonts w:cs="Arial"/>
                <w:b/>
                <w:bCs/>
              </w:rPr>
              <w:t>.</w:t>
            </w:r>
            <w:r w:rsidR="00316D5A">
              <w:rPr>
                <w:rFonts w:cs="Arial"/>
                <w:b/>
                <w:bCs/>
              </w:rPr>
              <w:tab/>
              <w:t>Transfers between Reserves</w:t>
            </w:r>
          </w:p>
          <w:p w14:paraId="09FFA90F" w14:textId="77777777" w:rsidR="00316D5A" w:rsidRDefault="00316D5A" w:rsidP="00FC192A">
            <w:pPr>
              <w:tabs>
                <w:tab w:val="left" w:pos="738"/>
                <w:tab w:val="left" w:pos="1387"/>
                <w:tab w:val="left" w:pos="1762"/>
                <w:tab w:val="left" w:pos="1872"/>
              </w:tabs>
              <w:spacing w:after="0"/>
              <w:ind w:right="-46"/>
              <w:rPr>
                <w:rFonts w:cs="Arial"/>
                <w:b/>
                <w:bCs/>
              </w:rPr>
            </w:pPr>
          </w:p>
        </w:tc>
        <w:tc>
          <w:tcPr>
            <w:tcW w:w="2311" w:type="dxa"/>
            <w:vAlign w:val="center"/>
          </w:tcPr>
          <w:p w14:paraId="30055108" w14:textId="08FFA26E" w:rsidR="00316D5A" w:rsidRDefault="009A5DE2" w:rsidP="00FC192A">
            <w:pPr>
              <w:spacing w:after="0"/>
              <w:ind w:right="-46"/>
              <w:jc w:val="center"/>
              <w:rPr>
                <w:rFonts w:cs="Arial"/>
                <w:b/>
                <w:bCs/>
              </w:rPr>
            </w:pPr>
            <w:r>
              <w:rPr>
                <w:rFonts w:cs="Arial"/>
                <w:b/>
                <w:bCs/>
              </w:rPr>
              <w:t>9</w:t>
            </w:r>
          </w:p>
        </w:tc>
      </w:tr>
      <w:tr w:rsidR="00297702" w14:paraId="536689CD" w14:textId="77777777" w:rsidTr="00FC66D8">
        <w:trPr>
          <w:jc w:val="center"/>
        </w:trPr>
        <w:tc>
          <w:tcPr>
            <w:tcW w:w="6705" w:type="dxa"/>
          </w:tcPr>
          <w:p w14:paraId="783B8D5A" w14:textId="77777777" w:rsidR="00297702" w:rsidRDefault="00297702" w:rsidP="00D63B15">
            <w:pPr>
              <w:tabs>
                <w:tab w:val="left" w:pos="738"/>
                <w:tab w:val="left" w:pos="1387"/>
                <w:tab w:val="left" w:pos="1762"/>
                <w:tab w:val="left" w:pos="1872"/>
              </w:tabs>
              <w:spacing w:after="0"/>
              <w:ind w:right="-46"/>
              <w:jc w:val="left"/>
              <w:rPr>
                <w:rFonts w:cs="Arial"/>
                <w:b/>
                <w:bCs/>
              </w:rPr>
            </w:pPr>
          </w:p>
          <w:p w14:paraId="1FAAA0C5" w14:textId="771B5513" w:rsidR="00297702" w:rsidRDefault="00297702" w:rsidP="00D63B15">
            <w:pPr>
              <w:tabs>
                <w:tab w:val="left" w:pos="738"/>
                <w:tab w:val="left" w:pos="1387"/>
                <w:tab w:val="left" w:pos="1762"/>
                <w:tab w:val="left" w:pos="1872"/>
              </w:tabs>
              <w:spacing w:after="0"/>
              <w:ind w:right="-46"/>
              <w:jc w:val="left"/>
              <w:rPr>
                <w:rFonts w:cs="Arial"/>
                <w:b/>
                <w:bCs/>
              </w:rPr>
            </w:pPr>
            <w:r>
              <w:rPr>
                <w:rFonts w:cs="Arial"/>
                <w:b/>
                <w:bCs/>
              </w:rPr>
              <w:t xml:space="preserve">Annex A – </w:t>
            </w:r>
            <w:r>
              <w:rPr>
                <w:rFonts w:eastAsia="Arial Unicode MS" w:cs="Arial"/>
                <w:b/>
                <w:u w:color="000000"/>
                <w:lang w:eastAsia="en-GB"/>
              </w:rPr>
              <w:t>Strategic Investment Reserve</w:t>
            </w:r>
          </w:p>
          <w:p w14:paraId="6FE66EC5" w14:textId="77777777" w:rsidR="00297702" w:rsidRDefault="00297702" w:rsidP="00D63B15">
            <w:pPr>
              <w:tabs>
                <w:tab w:val="left" w:pos="738"/>
                <w:tab w:val="left" w:pos="1387"/>
                <w:tab w:val="left" w:pos="1762"/>
                <w:tab w:val="left" w:pos="1872"/>
              </w:tabs>
              <w:spacing w:after="0"/>
              <w:ind w:right="-46"/>
              <w:jc w:val="left"/>
              <w:rPr>
                <w:rFonts w:cs="Arial"/>
                <w:b/>
                <w:bCs/>
              </w:rPr>
            </w:pPr>
          </w:p>
        </w:tc>
        <w:tc>
          <w:tcPr>
            <w:tcW w:w="2311" w:type="dxa"/>
            <w:vAlign w:val="center"/>
          </w:tcPr>
          <w:p w14:paraId="76346729" w14:textId="52070431" w:rsidR="004E2AC4" w:rsidRDefault="009A5DE2" w:rsidP="00FC192A">
            <w:pPr>
              <w:spacing w:after="0"/>
              <w:ind w:right="-46"/>
              <w:jc w:val="center"/>
              <w:rPr>
                <w:rFonts w:cs="Arial"/>
                <w:b/>
                <w:bCs/>
              </w:rPr>
            </w:pPr>
            <w:r>
              <w:rPr>
                <w:rFonts w:cs="Arial"/>
                <w:b/>
                <w:bCs/>
              </w:rPr>
              <w:t>10</w:t>
            </w:r>
          </w:p>
        </w:tc>
      </w:tr>
      <w:tr w:rsidR="00297702" w14:paraId="547FA09E" w14:textId="77777777" w:rsidTr="00FC66D8">
        <w:trPr>
          <w:jc w:val="center"/>
        </w:trPr>
        <w:tc>
          <w:tcPr>
            <w:tcW w:w="6705" w:type="dxa"/>
          </w:tcPr>
          <w:p w14:paraId="1FC16BB2" w14:textId="77777777" w:rsidR="00297702" w:rsidRDefault="00297702" w:rsidP="00D63B15">
            <w:pPr>
              <w:tabs>
                <w:tab w:val="left" w:pos="738"/>
                <w:tab w:val="left" w:pos="1387"/>
                <w:tab w:val="left" w:pos="1762"/>
                <w:tab w:val="left" w:pos="1872"/>
              </w:tabs>
              <w:spacing w:after="0"/>
              <w:ind w:right="-46"/>
              <w:jc w:val="left"/>
              <w:rPr>
                <w:rFonts w:cs="Arial"/>
                <w:b/>
                <w:bCs/>
              </w:rPr>
            </w:pPr>
          </w:p>
          <w:p w14:paraId="6198ACF2" w14:textId="5F7CE141" w:rsidR="00297702" w:rsidRPr="00D63B15" w:rsidRDefault="00297702" w:rsidP="00D63B15">
            <w:pPr>
              <w:tabs>
                <w:tab w:val="left" w:pos="738"/>
                <w:tab w:val="left" w:pos="1387"/>
                <w:tab w:val="left" w:pos="1762"/>
                <w:tab w:val="left" w:pos="1872"/>
              </w:tabs>
              <w:spacing w:after="0"/>
              <w:ind w:left="738" w:right="-46" w:hanging="738"/>
              <w:jc w:val="left"/>
              <w:rPr>
                <w:rFonts w:eastAsia="Arial Unicode MS" w:cs="Arial"/>
                <w:b/>
                <w:u w:color="000000"/>
                <w:lang w:eastAsia="en-GB"/>
              </w:rPr>
            </w:pPr>
            <w:r>
              <w:rPr>
                <w:rFonts w:cs="Arial"/>
                <w:b/>
                <w:bCs/>
              </w:rPr>
              <w:t xml:space="preserve">Annex B – </w:t>
            </w:r>
            <w:r>
              <w:rPr>
                <w:rFonts w:eastAsia="Arial Unicode MS" w:cs="Arial"/>
                <w:b/>
                <w:u w:color="000000"/>
                <w:lang w:eastAsia="en-GB"/>
              </w:rPr>
              <w:t>Downsizing and Risk Management Reserve</w:t>
            </w:r>
            <w:r>
              <w:rPr>
                <w:rFonts w:cs="Arial"/>
                <w:b/>
                <w:bCs/>
              </w:rPr>
              <w:t xml:space="preserve"> </w:t>
            </w:r>
          </w:p>
          <w:p w14:paraId="392FA751" w14:textId="77777777" w:rsidR="00297702" w:rsidRDefault="00297702" w:rsidP="00D63B15">
            <w:pPr>
              <w:tabs>
                <w:tab w:val="left" w:pos="738"/>
                <w:tab w:val="left" w:pos="1387"/>
                <w:tab w:val="left" w:pos="1762"/>
                <w:tab w:val="left" w:pos="1872"/>
              </w:tabs>
              <w:spacing w:after="0"/>
              <w:ind w:left="738" w:right="-46" w:hanging="738"/>
              <w:jc w:val="left"/>
              <w:rPr>
                <w:rFonts w:cs="Arial"/>
                <w:b/>
                <w:bCs/>
              </w:rPr>
            </w:pPr>
          </w:p>
        </w:tc>
        <w:tc>
          <w:tcPr>
            <w:tcW w:w="2311" w:type="dxa"/>
            <w:vAlign w:val="center"/>
          </w:tcPr>
          <w:p w14:paraId="74329B60" w14:textId="7238A869" w:rsidR="004E2AC4" w:rsidRDefault="009A5DE2" w:rsidP="00FC192A">
            <w:pPr>
              <w:spacing w:after="0"/>
              <w:ind w:right="-46"/>
              <w:jc w:val="center"/>
              <w:rPr>
                <w:rFonts w:cs="Arial"/>
                <w:b/>
                <w:bCs/>
              </w:rPr>
            </w:pPr>
            <w:r>
              <w:rPr>
                <w:rFonts w:cs="Arial"/>
                <w:b/>
                <w:bCs/>
              </w:rPr>
              <w:t>11</w:t>
            </w:r>
          </w:p>
        </w:tc>
      </w:tr>
      <w:tr w:rsidR="001F73E9" w14:paraId="4B711673" w14:textId="77777777" w:rsidTr="001F73E9">
        <w:trPr>
          <w:trHeight w:val="742"/>
          <w:jc w:val="center"/>
        </w:trPr>
        <w:tc>
          <w:tcPr>
            <w:tcW w:w="6705" w:type="dxa"/>
          </w:tcPr>
          <w:p w14:paraId="47148601" w14:textId="77777777" w:rsidR="001F73E9" w:rsidRDefault="001F73E9" w:rsidP="00D63B15">
            <w:pPr>
              <w:tabs>
                <w:tab w:val="left" w:pos="738"/>
                <w:tab w:val="left" w:pos="1387"/>
                <w:tab w:val="left" w:pos="1762"/>
                <w:tab w:val="left" w:pos="1872"/>
              </w:tabs>
              <w:spacing w:after="0"/>
              <w:ind w:left="738" w:right="-46" w:hanging="738"/>
              <w:jc w:val="left"/>
              <w:rPr>
                <w:rFonts w:cs="Arial"/>
                <w:b/>
                <w:bCs/>
              </w:rPr>
            </w:pPr>
          </w:p>
          <w:p w14:paraId="6FBD2920" w14:textId="0121EEAB" w:rsidR="001F73E9" w:rsidRDefault="001F73E9" w:rsidP="00D63B15">
            <w:pPr>
              <w:tabs>
                <w:tab w:val="left" w:pos="738"/>
                <w:tab w:val="left" w:pos="1387"/>
                <w:tab w:val="left" w:pos="1762"/>
                <w:tab w:val="left" w:pos="1872"/>
              </w:tabs>
              <w:spacing w:after="0"/>
              <w:ind w:left="738" w:right="-46" w:hanging="738"/>
              <w:jc w:val="left"/>
              <w:rPr>
                <w:rFonts w:cs="Arial"/>
                <w:b/>
                <w:bCs/>
              </w:rPr>
            </w:pPr>
            <w:r>
              <w:rPr>
                <w:rFonts w:cs="Arial"/>
                <w:b/>
                <w:bCs/>
              </w:rPr>
              <w:t xml:space="preserve">Annex C – </w:t>
            </w:r>
            <w:r w:rsidR="00B1169D">
              <w:rPr>
                <w:rFonts w:eastAsia="Arial Unicode MS" w:cs="Arial"/>
                <w:b/>
                <w:u w:color="000000"/>
                <w:lang w:eastAsia="en-GB"/>
              </w:rPr>
              <w:t>Transitional Reserve &amp; Transition of Services Reserve</w:t>
            </w:r>
          </w:p>
          <w:p w14:paraId="07F66B84" w14:textId="77777777" w:rsidR="001F73E9" w:rsidRDefault="001F73E9" w:rsidP="00D63B15">
            <w:pPr>
              <w:tabs>
                <w:tab w:val="left" w:pos="738"/>
                <w:tab w:val="left" w:pos="1387"/>
                <w:tab w:val="left" w:pos="1762"/>
                <w:tab w:val="left" w:pos="1872"/>
              </w:tabs>
              <w:spacing w:after="0"/>
              <w:ind w:right="-46"/>
              <w:jc w:val="left"/>
              <w:rPr>
                <w:rFonts w:cs="Arial"/>
                <w:b/>
                <w:bCs/>
              </w:rPr>
            </w:pPr>
          </w:p>
        </w:tc>
        <w:tc>
          <w:tcPr>
            <w:tcW w:w="2311" w:type="dxa"/>
            <w:vAlign w:val="center"/>
          </w:tcPr>
          <w:p w14:paraId="13875FC0" w14:textId="02A1B178" w:rsidR="001F73E9" w:rsidRDefault="009A5DE2" w:rsidP="00FC192A">
            <w:pPr>
              <w:spacing w:after="0"/>
              <w:ind w:right="-46"/>
              <w:jc w:val="center"/>
              <w:rPr>
                <w:rFonts w:cs="Arial"/>
                <w:b/>
                <w:bCs/>
              </w:rPr>
            </w:pPr>
            <w:r>
              <w:rPr>
                <w:rFonts w:cs="Arial"/>
                <w:b/>
                <w:bCs/>
              </w:rPr>
              <w:t>12</w:t>
            </w:r>
          </w:p>
        </w:tc>
      </w:tr>
      <w:tr w:rsidR="00297702" w14:paraId="24214B0F" w14:textId="77777777" w:rsidTr="00FC66D8">
        <w:trPr>
          <w:jc w:val="center"/>
        </w:trPr>
        <w:tc>
          <w:tcPr>
            <w:tcW w:w="6705" w:type="dxa"/>
          </w:tcPr>
          <w:p w14:paraId="3F41B938" w14:textId="77777777" w:rsidR="00297702" w:rsidRDefault="00297702" w:rsidP="00D63B15">
            <w:pPr>
              <w:tabs>
                <w:tab w:val="left" w:pos="738"/>
                <w:tab w:val="left" w:pos="1387"/>
                <w:tab w:val="left" w:pos="1762"/>
                <w:tab w:val="left" w:pos="1872"/>
              </w:tabs>
              <w:spacing w:after="0"/>
              <w:ind w:right="-46"/>
              <w:jc w:val="left"/>
              <w:rPr>
                <w:rFonts w:cs="Arial"/>
                <w:b/>
                <w:bCs/>
              </w:rPr>
            </w:pPr>
          </w:p>
          <w:p w14:paraId="576B81CB" w14:textId="2B3FFE4F" w:rsidR="00297702" w:rsidRDefault="001F73E9" w:rsidP="00D63B15">
            <w:pPr>
              <w:tabs>
                <w:tab w:val="left" w:pos="738"/>
                <w:tab w:val="left" w:pos="1387"/>
                <w:tab w:val="left" w:pos="1762"/>
                <w:tab w:val="left" w:pos="1872"/>
              </w:tabs>
              <w:spacing w:after="0"/>
              <w:ind w:right="-46"/>
              <w:jc w:val="left"/>
              <w:rPr>
                <w:rFonts w:cs="Arial"/>
                <w:b/>
                <w:bCs/>
              </w:rPr>
            </w:pPr>
            <w:r>
              <w:rPr>
                <w:rFonts w:cs="Arial"/>
                <w:b/>
                <w:bCs/>
              </w:rPr>
              <w:t>Annex D</w:t>
            </w:r>
            <w:r w:rsidR="00297702">
              <w:rPr>
                <w:rFonts w:cs="Arial"/>
                <w:b/>
                <w:bCs/>
              </w:rPr>
              <w:t xml:space="preserve"> – </w:t>
            </w:r>
            <w:r w:rsidR="00031CD4">
              <w:rPr>
                <w:rFonts w:eastAsia="Arial Unicode MS" w:cs="Arial"/>
                <w:b/>
                <w:u w:color="000000"/>
                <w:lang w:eastAsia="en-GB"/>
              </w:rPr>
              <w:t>Service</w:t>
            </w:r>
            <w:r w:rsidR="00297702">
              <w:rPr>
                <w:rFonts w:eastAsia="Arial Unicode MS" w:cs="Arial"/>
                <w:b/>
                <w:u w:color="000000"/>
                <w:lang w:eastAsia="en-GB"/>
              </w:rPr>
              <w:t xml:space="preserve"> Reserve</w:t>
            </w:r>
            <w:r w:rsidR="00E40C1B">
              <w:rPr>
                <w:rFonts w:eastAsia="Arial Unicode MS" w:cs="Arial"/>
                <w:b/>
                <w:u w:color="000000"/>
                <w:lang w:eastAsia="en-GB"/>
              </w:rPr>
              <w:t>s</w:t>
            </w:r>
          </w:p>
          <w:p w14:paraId="525F2A87" w14:textId="77777777" w:rsidR="00297702" w:rsidRDefault="00297702" w:rsidP="00D63B15">
            <w:pPr>
              <w:tabs>
                <w:tab w:val="left" w:pos="738"/>
                <w:tab w:val="left" w:pos="1387"/>
                <w:tab w:val="left" w:pos="1762"/>
                <w:tab w:val="left" w:pos="1872"/>
              </w:tabs>
              <w:spacing w:after="0"/>
              <w:ind w:right="-46"/>
              <w:jc w:val="left"/>
              <w:rPr>
                <w:rFonts w:cs="Arial"/>
                <w:b/>
                <w:bCs/>
              </w:rPr>
            </w:pPr>
          </w:p>
        </w:tc>
        <w:tc>
          <w:tcPr>
            <w:tcW w:w="2311" w:type="dxa"/>
            <w:vAlign w:val="center"/>
          </w:tcPr>
          <w:p w14:paraId="27EF5875" w14:textId="1021FCAC" w:rsidR="004E2AC4" w:rsidRDefault="009A5DE2" w:rsidP="00FC192A">
            <w:pPr>
              <w:spacing w:after="0"/>
              <w:ind w:right="-46"/>
              <w:jc w:val="center"/>
              <w:rPr>
                <w:rFonts w:cs="Arial"/>
                <w:b/>
                <w:bCs/>
              </w:rPr>
            </w:pPr>
            <w:r>
              <w:rPr>
                <w:rFonts w:cs="Arial"/>
                <w:b/>
                <w:bCs/>
              </w:rPr>
              <w:t>13</w:t>
            </w:r>
          </w:p>
        </w:tc>
      </w:tr>
    </w:tbl>
    <w:p w14:paraId="2C494E06" w14:textId="77777777" w:rsidR="00A31B9F" w:rsidRDefault="00A31B9F">
      <w:pPr>
        <w:autoSpaceDE/>
        <w:autoSpaceDN/>
        <w:adjustRightInd/>
        <w:spacing w:after="0"/>
        <w:jc w:val="left"/>
        <w:rPr>
          <w:rFonts w:eastAsia="Times New Roman" w:cs="Arial"/>
          <w:sz w:val="32"/>
          <w:szCs w:val="32"/>
          <w:lang w:eastAsia="en-GB"/>
        </w:rPr>
      </w:pPr>
      <w:r>
        <w:rPr>
          <w:rFonts w:eastAsia="Times New Roman" w:cs="Arial"/>
          <w:sz w:val="32"/>
          <w:szCs w:val="32"/>
          <w:lang w:eastAsia="en-GB"/>
        </w:rPr>
        <w:br w:type="page"/>
      </w:r>
    </w:p>
    <w:p w14:paraId="13431246" w14:textId="239AC717" w:rsidR="008308E2" w:rsidRPr="008308E2" w:rsidRDefault="008308E2" w:rsidP="008308E2">
      <w:pPr>
        <w:tabs>
          <w:tab w:val="left" w:pos="851"/>
          <w:tab w:val="left" w:pos="1418"/>
        </w:tabs>
        <w:spacing w:after="0"/>
        <w:ind w:right="-330"/>
        <w:rPr>
          <w:rFonts w:eastAsia="Times New Roman" w:cs="Arial"/>
          <w:sz w:val="32"/>
          <w:szCs w:val="32"/>
          <w:lang w:eastAsia="en-GB"/>
        </w:rPr>
      </w:pPr>
      <w:r w:rsidRPr="008308E2">
        <w:rPr>
          <w:rFonts w:eastAsia="Times New Roman" w:cs="Arial"/>
          <w:sz w:val="32"/>
          <w:szCs w:val="32"/>
          <w:lang w:eastAsia="en-GB"/>
        </w:rPr>
        <w:lastRenderedPageBreak/>
        <w:t>Money Matters – Update on the County Coun</w:t>
      </w:r>
      <w:r w:rsidR="00F91162">
        <w:rPr>
          <w:rFonts w:eastAsia="Times New Roman" w:cs="Arial"/>
          <w:sz w:val="32"/>
          <w:szCs w:val="32"/>
          <w:lang w:eastAsia="en-GB"/>
        </w:rPr>
        <w:t>cil's Reserves Position for 2016/17</w:t>
      </w:r>
    </w:p>
    <w:p w14:paraId="0F20D5F5" w14:textId="77777777" w:rsidR="008308E2" w:rsidRPr="008308E2" w:rsidRDefault="008308E2" w:rsidP="008308E2">
      <w:pPr>
        <w:tabs>
          <w:tab w:val="left" w:pos="851"/>
          <w:tab w:val="left" w:pos="1418"/>
        </w:tabs>
        <w:spacing w:after="0"/>
        <w:ind w:right="-330"/>
        <w:rPr>
          <w:rFonts w:eastAsia="Times New Roman" w:cs="Arial"/>
          <w:lang w:eastAsia="en-GB"/>
        </w:rPr>
      </w:pPr>
    </w:p>
    <w:p w14:paraId="79BCD943" w14:textId="1D38AB43" w:rsidR="008308E2" w:rsidRDefault="008308E2" w:rsidP="00B60B5D">
      <w:pPr>
        <w:tabs>
          <w:tab w:val="left" w:pos="851"/>
          <w:tab w:val="left" w:pos="1418"/>
        </w:tabs>
        <w:spacing w:after="0"/>
        <w:ind w:right="-24"/>
        <w:rPr>
          <w:rFonts w:eastAsia="Times New Roman" w:cs="Arial"/>
          <w:b/>
          <w:lang w:eastAsia="en-GB"/>
        </w:rPr>
      </w:pPr>
      <w:r w:rsidRPr="008308E2">
        <w:rPr>
          <w:rFonts w:eastAsia="Times New Roman" w:cs="Arial"/>
          <w:b/>
          <w:lang w:eastAsia="en-GB"/>
        </w:rPr>
        <w:t>1</w:t>
      </w:r>
      <w:r w:rsidR="004532BC">
        <w:rPr>
          <w:rFonts w:eastAsia="Times New Roman" w:cs="Arial"/>
          <w:b/>
          <w:lang w:eastAsia="en-GB"/>
        </w:rPr>
        <w:t>.</w:t>
      </w:r>
      <w:r w:rsidRPr="008308E2">
        <w:rPr>
          <w:rFonts w:eastAsia="Times New Roman" w:cs="Arial"/>
          <w:b/>
          <w:lang w:eastAsia="en-GB"/>
        </w:rPr>
        <w:tab/>
      </w:r>
      <w:r w:rsidR="00300E34">
        <w:rPr>
          <w:rFonts w:eastAsia="Times New Roman" w:cs="Arial"/>
          <w:b/>
          <w:lang w:eastAsia="en-GB"/>
        </w:rPr>
        <w:t>Executive Summary</w:t>
      </w:r>
    </w:p>
    <w:p w14:paraId="019DC91A" w14:textId="77777777" w:rsidR="00300E34" w:rsidRDefault="00300E34" w:rsidP="00B60B5D">
      <w:pPr>
        <w:tabs>
          <w:tab w:val="left" w:pos="851"/>
          <w:tab w:val="left" w:pos="1418"/>
        </w:tabs>
        <w:spacing w:after="0"/>
        <w:ind w:right="-24"/>
        <w:rPr>
          <w:rFonts w:eastAsia="Times New Roman" w:cs="Arial"/>
          <w:b/>
          <w:lang w:eastAsia="en-GB"/>
        </w:rPr>
      </w:pPr>
    </w:p>
    <w:p w14:paraId="0A464CAE" w14:textId="45F86289" w:rsidR="00300E34" w:rsidRPr="008308E2" w:rsidRDefault="00300E34" w:rsidP="00B60B5D">
      <w:pPr>
        <w:tabs>
          <w:tab w:val="left" w:pos="851"/>
          <w:tab w:val="left" w:pos="1418"/>
        </w:tabs>
        <w:spacing w:after="0"/>
        <w:ind w:right="-24"/>
        <w:rPr>
          <w:rFonts w:eastAsia="Times New Roman" w:cs="Arial"/>
          <w:b/>
          <w:lang w:eastAsia="en-GB"/>
        </w:rPr>
      </w:pPr>
      <w:r>
        <w:rPr>
          <w:rFonts w:eastAsia="Times New Roman" w:cs="Arial"/>
          <w:b/>
          <w:lang w:eastAsia="en-GB"/>
        </w:rPr>
        <w:t xml:space="preserve">1.1 Introduction </w:t>
      </w:r>
    </w:p>
    <w:p w14:paraId="5CE7E78F" w14:textId="77777777" w:rsidR="008308E2" w:rsidRPr="008308E2" w:rsidRDefault="008308E2" w:rsidP="00B60B5D">
      <w:pPr>
        <w:tabs>
          <w:tab w:val="left" w:pos="851"/>
          <w:tab w:val="left" w:pos="1418"/>
        </w:tabs>
        <w:spacing w:after="0"/>
        <w:ind w:right="-24"/>
        <w:rPr>
          <w:rFonts w:eastAsia="Times New Roman" w:cs="Arial"/>
          <w:b/>
          <w:lang w:eastAsia="en-GB"/>
        </w:rPr>
      </w:pPr>
    </w:p>
    <w:p w14:paraId="5E074ED8" w14:textId="4A74C4AC" w:rsidR="001A1C77" w:rsidRDefault="00300E34" w:rsidP="001A1C77">
      <w:pPr>
        <w:spacing w:after="0"/>
        <w:ind w:right="-24"/>
        <w:rPr>
          <w:rFonts w:cs="Arial"/>
        </w:rPr>
      </w:pPr>
      <w:r w:rsidRPr="008308E2">
        <w:rPr>
          <w:rFonts w:cs="Arial"/>
        </w:rPr>
        <w:t>As at 1</w:t>
      </w:r>
      <w:r w:rsidRPr="008308E2">
        <w:rPr>
          <w:rFonts w:cs="Arial"/>
          <w:vertAlign w:val="superscript"/>
        </w:rPr>
        <w:t>st</w:t>
      </w:r>
      <w:r>
        <w:rPr>
          <w:rFonts w:cs="Arial"/>
        </w:rPr>
        <w:t xml:space="preserve"> April 2016</w:t>
      </w:r>
      <w:r w:rsidRPr="008308E2">
        <w:rPr>
          <w:rFonts w:cs="Arial"/>
        </w:rPr>
        <w:t xml:space="preserve"> the County Council had total reserves of £</w:t>
      </w:r>
      <w:r w:rsidR="00CC2531">
        <w:rPr>
          <w:rFonts w:cs="Arial"/>
        </w:rPr>
        <w:t xml:space="preserve">400.669m. </w:t>
      </w:r>
      <w:r>
        <w:rPr>
          <w:rFonts w:cs="Arial"/>
        </w:rPr>
        <w:t>Of this, £86.022</w:t>
      </w:r>
      <w:r w:rsidR="00D2458F">
        <w:rPr>
          <w:rFonts w:cs="Arial"/>
        </w:rPr>
        <w:t>m was</w:t>
      </w:r>
      <w:r w:rsidRPr="0039333E">
        <w:rPr>
          <w:rFonts w:cs="Arial"/>
        </w:rPr>
        <w:t xml:space="preserve"> held for scho</w:t>
      </w:r>
      <w:r w:rsidR="001A1C77">
        <w:rPr>
          <w:rFonts w:cs="Arial"/>
        </w:rPr>
        <w:t xml:space="preserve">ols and its use is restricted. </w:t>
      </w:r>
    </w:p>
    <w:p w14:paraId="1AC962A4" w14:textId="77777777" w:rsidR="001A1C77" w:rsidRDefault="001A1C77" w:rsidP="001A1C77">
      <w:pPr>
        <w:spacing w:after="0"/>
        <w:ind w:right="-24"/>
        <w:rPr>
          <w:rFonts w:cs="Arial"/>
        </w:rPr>
      </w:pPr>
    </w:p>
    <w:p w14:paraId="0DC8A32A" w14:textId="59688BD5" w:rsidR="008308E2" w:rsidRDefault="008308E2" w:rsidP="001A1C77">
      <w:pPr>
        <w:spacing w:after="0"/>
        <w:ind w:right="-24"/>
        <w:rPr>
          <w:rFonts w:eastAsia="Times New Roman" w:cs="Arial"/>
          <w:lang w:eastAsia="en-GB"/>
        </w:rPr>
      </w:pPr>
      <w:r w:rsidRPr="008308E2">
        <w:rPr>
          <w:rFonts w:eastAsia="Times New Roman" w:cs="Arial"/>
          <w:lang w:eastAsia="en-GB"/>
        </w:rPr>
        <w:t xml:space="preserve">This report sets out </w:t>
      </w:r>
      <w:r w:rsidR="00A53B2B">
        <w:rPr>
          <w:rFonts w:eastAsia="Times New Roman" w:cs="Arial"/>
          <w:lang w:eastAsia="en-GB"/>
        </w:rPr>
        <w:t>the</w:t>
      </w:r>
      <w:r w:rsidR="000211C6">
        <w:rPr>
          <w:rFonts w:eastAsia="Times New Roman" w:cs="Arial"/>
          <w:lang w:eastAsia="en-GB"/>
        </w:rPr>
        <w:t xml:space="preserve"> </w:t>
      </w:r>
      <w:r w:rsidR="00F9127B">
        <w:rPr>
          <w:rFonts w:eastAsia="Times New Roman" w:cs="Arial"/>
          <w:lang w:eastAsia="en-GB"/>
        </w:rPr>
        <w:t>reserve</w:t>
      </w:r>
      <w:r w:rsidR="0061204C">
        <w:rPr>
          <w:rFonts w:eastAsia="Times New Roman" w:cs="Arial"/>
          <w:lang w:eastAsia="en-GB"/>
        </w:rPr>
        <w:t>s</w:t>
      </w:r>
      <w:r w:rsidR="00F9127B">
        <w:rPr>
          <w:rFonts w:eastAsia="Times New Roman" w:cs="Arial"/>
          <w:lang w:eastAsia="en-GB"/>
        </w:rPr>
        <w:t xml:space="preserve"> </w:t>
      </w:r>
      <w:r w:rsidRPr="008308E2">
        <w:rPr>
          <w:rFonts w:eastAsia="Times New Roman" w:cs="Arial"/>
          <w:lang w:eastAsia="en-GB"/>
        </w:rPr>
        <w:t xml:space="preserve">position </w:t>
      </w:r>
      <w:r w:rsidR="00A53B2B">
        <w:rPr>
          <w:rFonts w:eastAsia="Times New Roman" w:cs="Arial"/>
          <w:lang w:eastAsia="en-GB"/>
        </w:rPr>
        <w:t xml:space="preserve">in line with the current budget monitoring </w:t>
      </w:r>
      <w:r w:rsidR="00A06801">
        <w:rPr>
          <w:rFonts w:eastAsia="Times New Roman" w:cs="Arial"/>
          <w:lang w:eastAsia="en-GB"/>
        </w:rPr>
        <w:t>r</w:t>
      </w:r>
      <w:r w:rsidR="00A53B2B">
        <w:rPr>
          <w:rFonts w:eastAsia="Times New Roman" w:cs="Arial"/>
          <w:lang w:eastAsia="en-GB"/>
        </w:rPr>
        <w:t>eport.</w:t>
      </w:r>
    </w:p>
    <w:p w14:paraId="0D14A43B" w14:textId="77777777" w:rsidR="001F73E9" w:rsidRPr="008308E2" w:rsidRDefault="001F73E9" w:rsidP="00B60B5D">
      <w:pPr>
        <w:tabs>
          <w:tab w:val="left" w:pos="851"/>
          <w:tab w:val="left" w:pos="1418"/>
        </w:tabs>
        <w:spacing w:after="0"/>
        <w:ind w:right="-24"/>
        <w:rPr>
          <w:rFonts w:eastAsia="Times New Roman" w:cs="Arial"/>
          <w:lang w:eastAsia="en-GB"/>
        </w:rPr>
      </w:pPr>
    </w:p>
    <w:p w14:paraId="65282FE3" w14:textId="77D7BE88" w:rsidR="008308E2" w:rsidRPr="008308E2" w:rsidRDefault="00300E34" w:rsidP="00B60B5D">
      <w:pPr>
        <w:spacing w:after="0"/>
        <w:ind w:right="-24"/>
        <w:rPr>
          <w:rFonts w:cs="Arial"/>
          <w:b/>
        </w:rPr>
      </w:pPr>
      <w:r>
        <w:rPr>
          <w:rFonts w:cs="Arial"/>
          <w:b/>
        </w:rPr>
        <w:t>1.2</w:t>
      </w:r>
      <w:r w:rsidR="008308E2" w:rsidRPr="008308E2">
        <w:rPr>
          <w:rFonts w:cs="Arial"/>
          <w:b/>
        </w:rPr>
        <w:tab/>
        <w:t>Summary</w:t>
      </w:r>
    </w:p>
    <w:p w14:paraId="51C2090E" w14:textId="77777777" w:rsidR="008308E2" w:rsidRPr="008308E2" w:rsidRDefault="008308E2" w:rsidP="00B60B5D">
      <w:pPr>
        <w:spacing w:after="0"/>
        <w:ind w:right="-24"/>
        <w:rPr>
          <w:rFonts w:cs="Arial"/>
        </w:rPr>
      </w:pPr>
    </w:p>
    <w:p w14:paraId="4E43E358" w14:textId="115ABDA4" w:rsidR="00880A65" w:rsidRPr="00AA31EA" w:rsidRDefault="00880A65" w:rsidP="00880A65">
      <w:pPr>
        <w:spacing w:after="0"/>
        <w:rPr>
          <w:rFonts w:cs="Arial"/>
        </w:rPr>
      </w:pPr>
      <w:r w:rsidRPr="00AA31EA">
        <w:rPr>
          <w:rFonts w:cs="Arial"/>
        </w:rPr>
        <w:t xml:space="preserve">As part of the process of redesigning its services the County Council has previously explicitly recognised that it will need to </w:t>
      </w:r>
      <w:r w:rsidR="00F066D4" w:rsidRPr="00AA31EA">
        <w:rPr>
          <w:rFonts w:cs="Arial"/>
        </w:rPr>
        <w:t xml:space="preserve">significantly utilise its reserves over the next 2 financial years. </w:t>
      </w:r>
    </w:p>
    <w:p w14:paraId="3AD9F583" w14:textId="77777777" w:rsidR="001A1C77" w:rsidRPr="00D421CC" w:rsidRDefault="001A1C77" w:rsidP="00880A65">
      <w:pPr>
        <w:spacing w:after="0"/>
        <w:rPr>
          <w:rFonts w:cs="Arial"/>
          <w:highlight w:val="yellow"/>
        </w:rPr>
      </w:pPr>
    </w:p>
    <w:p w14:paraId="1D7586E1" w14:textId="23C13D64" w:rsidR="00880A65" w:rsidRPr="00D421CC" w:rsidRDefault="001A1C77" w:rsidP="00880A65">
      <w:pPr>
        <w:spacing w:after="0"/>
        <w:rPr>
          <w:rFonts w:eastAsia="Times New Roman" w:cs="Arial"/>
          <w:highlight w:val="yellow"/>
          <w:lang w:eastAsia="en-GB"/>
        </w:rPr>
      </w:pPr>
      <w:r w:rsidRPr="00AA31EA">
        <w:rPr>
          <w:rFonts w:cs="Arial"/>
        </w:rPr>
        <w:t xml:space="preserve">At Full Council in February 2016 the revenue budget included </w:t>
      </w:r>
      <w:r w:rsidR="00880A65" w:rsidRPr="00AA31EA">
        <w:rPr>
          <w:rFonts w:eastAsia="Times New Roman" w:cs="Arial"/>
          <w:lang w:eastAsia="en-GB"/>
        </w:rPr>
        <w:t>an approved commitment from the Transitional Reserve of £46.5</w:t>
      </w:r>
      <w:r w:rsidR="001A47C0" w:rsidRPr="00AA31EA">
        <w:rPr>
          <w:rFonts w:eastAsia="Times New Roman" w:cs="Arial"/>
          <w:lang w:eastAsia="en-GB"/>
        </w:rPr>
        <w:t>18</w:t>
      </w:r>
      <w:r w:rsidR="00880A65" w:rsidRPr="00AA31EA">
        <w:rPr>
          <w:rFonts w:eastAsia="Times New Roman" w:cs="Arial"/>
          <w:lang w:eastAsia="en-GB"/>
        </w:rPr>
        <w:t xml:space="preserve">m in 2017/18 to support the reported financial </w:t>
      </w:r>
      <w:r w:rsidR="00880A65" w:rsidRPr="008F6DAA">
        <w:rPr>
          <w:rFonts w:eastAsia="Times New Roman" w:cs="Arial"/>
          <w:lang w:eastAsia="en-GB"/>
        </w:rPr>
        <w:t>gap</w:t>
      </w:r>
      <w:r w:rsidRPr="008F6DAA">
        <w:rPr>
          <w:rFonts w:eastAsia="Times New Roman" w:cs="Arial"/>
          <w:lang w:eastAsia="en-GB"/>
        </w:rPr>
        <w:t xml:space="preserve"> at that time</w:t>
      </w:r>
      <w:r w:rsidR="00880A65" w:rsidRPr="008F6DAA">
        <w:rPr>
          <w:rFonts w:eastAsia="Times New Roman" w:cs="Arial"/>
          <w:lang w:eastAsia="en-GB"/>
        </w:rPr>
        <w:t>. However, following a review of the M</w:t>
      </w:r>
      <w:r w:rsidRPr="008F6DAA">
        <w:rPr>
          <w:rFonts w:eastAsia="Times New Roman" w:cs="Arial"/>
          <w:lang w:eastAsia="en-GB"/>
        </w:rPr>
        <w:t xml:space="preserve">edium Term Financial Strategy (MTFS) for Cabinet in </w:t>
      </w:r>
      <w:r w:rsidR="000404BF">
        <w:rPr>
          <w:rFonts w:eastAsia="Times New Roman" w:cs="Arial"/>
          <w:lang w:eastAsia="en-GB"/>
        </w:rPr>
        <w:t>December</w:t>
      </w:r>
      <w:r w:rsidRPr="008F6DAA">
        <w:rPr>
          <w:rFonts w:eastAsia="Times New Roman" w:cs="Arial"/>
          <w:lang w:eastAsia="en-GB"/>
        </w:rPr>
        <w:t xml:space="preserve"> 2016</w:t>
      </w:r>
      <w:r w:rsidR="00D93B8E">
        <w:rPr>
          <w:rFonts w:eastAsia="Times New Roman" w:cs="Arial"/>
          <w:lang w:eastAsia="en-GB"/>
        </w:rPr>
        <w:t xml:space="preserve"> (as at 30</w:t>
      </w:r>
      <w:r w:rsidR="00D93B8E" w:rsidRPr="00D93B8E">
        <w:rPr>
          <w:rFonts w:eastAsia="Times New Roman" w:cs="Arial"/>
          <w:vertAlign w:val="superscript"/>
          <w:lang w:eastAsia="en-GB"/>
        </w:rPr>
        <w:t>th</w:t>
      </w:r>
      <w:r w:rsidR="00D93B8E">
        <w:rPr>
          <w:rFonts w:eastAsia="Times New Roman" w:cs="Arial"/>
          <w:lang w:eastAsia="en-GB"/>
        </w:rPr>
        <w:t xml:space="preserve"> September 2016)</w:t>
      </w:r>
      <w:r w:rsidRPr="008F6DAA">
        <w:rPr>
          <w:rFonts w:eastAsia="Times New Roman" w:cs="Arial"/>
          <w:lang w:eastAsia="en-GB"/>
        </w:rPr>
        <w:t xml:space="preserve"> it was i</w:t>
      </w:r>
      <w:r w:rsidR="00880A65" w:rsidRPr="008F6DAA">
        <w:rPr>
          <w:rFonts w:eastAsia="Times New Roman" w:cs="Arial"/>
          <w:lang w:eastAsia="en-GB"/>
        </w:rPr>
        <w:t xml:space="preserve">dentified that </w:t>
      </w:r>
      <w:r w:rsidRPr="008F6DAA">
        <w:rPr>
          <w:rFonts w:eastAsia="Times New Roman" w:cs="Arial"/>
          <w:lang w:eastAsia="en-GB"/>
        </w:rPr>
        <w:t xml:space="preserve">a revised value of </w:t>
      </w:r>
      <w:r w:rsidR="001A47C0" w:rsidRPr="008F6DAA">
        <w:rPr>
          <w:rFonts w:eastAsia="Times New Roman" w:cs="Arial"/>
          <w:lang w:eastAsia="en-GB"/>
        </w:rPr>
        <w:t>£</w:t>
      </w:r>
      <w:r w:rsidR="00AA31EA" w:rsidRPr="008F6DAA">
        <w:rPr>
          <w:rFonts w:eastAsia="Times New Roman" w:cs="Arial"/>
          <w:lang w:eastAsia="en-GB"/>
        </w:rPr>
        <w:t>60.350</w:t>
      </w:r>
      <w:r w:rsidRPr="008F6DAA">
        <w:rPr>
          <w:rFonts w:eastAsia="Times New Roman" w:cs="Arial"/>
          <w:lang w:eastAsia="en-GB"/>
        </w:rPr>
        <w:t xml:space="preserve">m was </w:t>
      </w:r>
      <w:r w:rsidR="00F021D1" w:rsidRPr="008F6DAA">
        <w:rPr>
          <w:rFonts w:eastAsia="Times New Roman" w:cs="Arial"/>
          <w:lang w:eastAsia="en-GB"/>
        </w:rPr>
        <w:t xml:space="preserve">required in 2017/18 </w:t>
      </w:r>
      <w:r w:rsidRPr="008F6DAA">
        <w:rPr>
          <w:rFonts w:eastAsia="Times New Roman" w:cs="Arial"/>
          <w:lang w:eastAsia="en-GB"/>
        </w:rPr>
        <w:t xml:space="preserve">which resulted in </w:t>
      </w:r>
      <w:r w:rsidR="00F021D1" w:rsidRPr="008F6DAA">
        <w:rPr>
          <w:rFonts w:eastAsia="Times New Roman" w:cs="Arial"/>
          <w:lang w:eastAsia="en-GB"/>
        </w:rPr>
        <w:t>an additional £1</w:t>
      </w:r>
      <w:r w:rsidR="00AA31EA" w:rsidRPr="008F6DAA">
        <w:rPr>
          <w:rFonts w:eastAsia="Times New Roman" w:cs="Arial"/>
          <w:lang w:eastAsia="en-GB"/>
        </w:rPr>
        <w:t>3.832</w:t>
      </w:r>
      <w:r w:rsidRPr="008F6DAA">
        <w:rPr>
          <w:rFonts w:eastAsia="Times New Roman" w:cs="Arial"/>
          <w:lang w:eastAsia="en-GB"/>
        </w:rPr>
        <w:t>m added into the MTFS</w:t>
      </w:r>
      <w:r w:rsidR="008F6DAA" w:rsidRPr="008F6DAA">
        <w:rPr>
          <w:rFonts w:eastAsia="Times New Roman" w:cs="Arial"/>
          <w:lang w:eastAsia="en-GB"/>
        </w:rPr>
        <w:t xml:space="preserve"> in total</w:t>
      </w:r>
      <w:r w:rsidR="00F021D1" w:rsidRPr="008F6DAA">
        <w:rPr>
          <w:rFonts w:eastAsia="Times New Roman" w:cs="Arial"/>
          <w:lang w:eastAsia="en-GB"/>
        </w:rPr>
        <w:t xml:space="preserve">. </w:t>
      </w:r>
    </w:p>
    <w:p w14:paraId="3A00C851" w14:textId="77777777" w:rsidR="001A1C77" w:rsidRPr="00D421CC" w:rsidRDefault="001A1C77" w:rsidP="00880A65">
      <w:pPr>
        <w:spacing w:after="0"/>
        <w:rPr>
          <w:rFonts w:eastAsia="Times New Roman" w:cs="Arial"/>
          <w:highlight w:val="yellow"/>
          <w:lang w:eastAsia="en-GB"/>
        </w:rPr>
      </w:pPr>
    </w:p>
    <w:p w14:paraId="4B11A14B" w14:textId="5598502E" w:rsidR="001A1C77" w:rsidRPr="008F6DAA" w:rsidRDefault="001A1C77" w:rsidP="00880A65">
      <w:pPr>
        <w:spacing w:after="0"/>
        <w:rPr>
          <w:rFonts w:eastAsia="Times New Roman" w:cs="Arial"/>
          <w:b/>
          <w:lang w:eastAsia="en-GB"/>
        </w:rPr>
      </w:pPr>
      <w:r w:rsidRPr="008F6DAA">
        <w:rPr>
          <w:rFonts w:eastAsia="Times New Roman" w:cs="Arial"/>
          <w:lang w:eastAsia="en-GB"/>
        </w:rPr>
        <w:t xml:space="preserve">A further quarterly review of the </w:t>
      </w:r>
      <w:r w:rsidR="009944F0" w:rsidRPr="008F6DAA">
        <w:rPr>
          <w:rFonts w:eastAsia="Times New Roman" w:cs="Arial"/>
          <w:lang w:eastAsia="en-GB"/>
        </w:rPr>
        <w:t>MTFS has taken place</w:t>
      </w:r>
      <w:r w:rsidR="00D4424D">
        <w:rPr>
          <w:rFonts w:eastAsia="Times New Roman" w:cs="Arial"/>
          <w:lang w:eastAsia="en-GB"/>
        </w:rPr>
        <w:t xml:space="preserve"> as at 31</w:t>
      </w:r>
      <w:r w:rsidR="00D4424D" w:rsidRPr="00D4424D">
        <w:rPr>
          <w:rFonts w:eastAsia="Times New Roman" w:cs="Arial"/>
          <w:vertAlign w:val="superscript"/>
          <w:lang w:eastAsia="en-GB"/>
        </w:rPr>
        <w:t>st</w:t>
      </w:r>
      <w:r w:rsidR="00D4424D">
        <w:rPr>
          <w:rFonts w:eastAsia="Times New Roman" w:cs="Arial"/>
          <w:lang w:eastAsia="en-GB"/>
        </w:rPr>
        <w:t xml:space="preserve"> December 2016</w:t>
      </w:r>
      <w:r w:rsidR="009944F0" w:rsidRPr="008F6DAA">
        <w:rPr>
          <w:rFonts w:eastAsia="Times New Roman" w:cs="Arial"/>
          <w:lang w:eastAsia="en-GB"/>
        </w:rPr>
        <w:t xml:space="preserve"> (Appendix B</w:t>
      </w:r>
      <w:r w:rsidR="008F6DAA" w:rsidRPr="008F6DAA">
        <w:rPr>
          <w:rFonts w:eastAsia="Times New Roman" w:cs="Arial"/>
          <w:lang w:eastAsia="en-GB"/>
        </w:rPr>
        <w:t xml:space="preserve">) it is now identified that </w:t>
      </w:r>
      <w:r w:rsidR="008F6DAA" w:rsidRPr="00D4424D">
        <w:rPr>
          <w:rFonts w:eastAsia="Times New Roman" w:cs="Arial"/>
          <w:lang w:eastAsia="en-GB"/>
        </w:rPr>
        <w:t>£5</w:t>
      </w:r>
      <w:r w:rsidR="00D4424D" w:rsidRPr="00D4424D">
        <w:rPr>
          <w:rFonts w:eastAsia="Times New Roman" w:cs="Arial"/>
          <w:lang w:eastAsia="en-GB"/>
        </w:rPr>
        <w:t>4.045</w:t>
      </w:r>
      <w:r w:rsidR="00CC2531" w:rsidRPr="00D4424D">
        <w:rPr>
          <w:rFonts w:eastAsia="Times New Roman" w:cs="Arial"/>
          <w:lang w:eastAsia="en-GB"/>
        </w:rPr>
        <w:t>m</w:t>
      </w:r>
      <w:r w:rsidRPr="00D4424D">
        <w:rPr>
          <w:rFonts w:eastAsia="Times New Roman" w:cs="Arial"/>
          <w:lang w:eastAsia="en-GB"/>
        </w:rPr>
        <w:t xml:space="preserve"> is re</w:t>
      </w:r>
      <w:r w:rsidR="00CC2531" w:rsidRPr="00D4424D">
        <w:rPr>
          <w:rFonts w:eastAsia="Times New Roman" w:cs="Arial"/>
          <w:lang w:eastAsia="en-GB"/>
        </w:rPr>
        <w:t xml:space="preserve">quired in 2017/18 (a </w:t>
      </w:r>
      <w:r w:rsidR="008F6DAA" w:rsidRPr="00D4424D">
        <w:rPr>
          <w:rFonts w:eastAsia="Times New Roman" w:cs="Arial"/>
          <w:lang w:eastAsia="en-GB"/>
        </w:rPr>
        <w:t>reduction of</w:t>
      </w:r>
      <w:r w:rsidRPr="00D4424D">
        <w:rPr>
          <w:rFonts w:eastAsia="Times New Roman" w:cs="Arial"/>
          <w:lang w:eastAsia="en-GB"/>
        </w:rPr>
        <w:t xml:space="preserve"> £</w:t>
      </w:r>
      <w:r w:rsidR="00D4424D">
        <w:rPr>
          <w:rFonts w:eastAsia="Times New Roman" w:cs="Arial"/>
          <w:lang w:eastAsia="en-GB"/>
        </w:rPr>
        <w:t>6.305</w:t>
      </w:r>
      <w:r w:rsidR="00CC2531" w:rsidRPr="00D4424D">
        <w:rPr>
          <w:rFonts w:eastAsia="Times New Roman" w:cs="Arial"/>
          <w:lang w:eastAsia="en-GB"/>
        </w:rPr>
        <w:t xml:space="preserve">m compared to </w:t>
      </w:r>
      <w:r w:rsidR="00B85F86">
        <w:rPr>
          <w:rFonts w:eastAsia="Times New Roman" w:cs="Arial"/>
          <w:lang w:eastAsia="en-GB"/>
        </w:rPr>
        <w:t xml:space="preserve">the </w:t>
      </w:r>
      <w:r w:rsidR="00CC2531" w:rsidRPr="00D4424D">
        <w:rPr>
          <w:rFonts w:eastAsia="Times New Roman" w:cs="Arial"/>
          <w:lang w:eastAsia="en-GB"/>
        </w:rPr>
        <w:t>figures reported to Cabinet</w:t>
      </w:r>
      <w:r w:rsidR="00B85F86">
        <w:rPr>
          <w:rFonts w:eastAsia="Times New Roman" w:cs="Arial"/>
          <w:lang w:eastAsia="en-GB"/>
        </w:rPr>
        <w:t xml:space="preserve"> in December</w:t>
      </w:r>
      <w:r w:rsidR="008F6DAA" w:rsidRPr="00D4424D">
        <w:rPr>
          <w:rFonts w:eastAsia="Times New Roman" w:cs="Arial"/>
          <w:lang w:eastAsia="en-GB"/>
        </w:rPr>
        <w:t>). The reduction</w:t>
      </w:r>
      <w:r w:rsidRPr="00D4424D">
        <w:rPr>
          <w:rFonts w:eastAsia="Times New Roman" w:cs="Arial"/>
          <w:lang w:eastAsia="en-GB"/>
        </w:rPr>
        <w:t xml:space="preserve"> </w:t>
      </w:r>
      <w:r w:rsidRPr="00D4424D">
        <w:rPr>
          <w:rFonts w:eastAsia="Times New Roman" w:cs="Arial"/>
          <w:b/>
          <w:lang w:eastAsia="en-GB"/>
        </w:rPr>
        <w:t>has been included within the reserves forecast detailed within this report.</w:t>
      </w:r>
      <w:r w:rsidRPr="008F6DAA">
        <w:rPr>
          <w:rFonts w:eastAsia="Times New Roman" w:cs="Arial"/>
          <w:lang w:eastAsia="en-GB"/>
        </w:rPr>
        <w:t xml:space="preserve"> </w:t>
      </w:r>
    </w:p>
    <w:p w14:paraId="3FEE5500" w14:textId="77777777" w:rsidR="00F021D1" w:rsidRPr="00D421CC" w:rsidRDefault="00F021D1" w:rsidP="00880A65">
      <w:pPr>
        <w:spacing w:after="0"/>
        <w:rPr>
          <w:rFonts w:eastAsia="Times New Roman" w:cs="Arial"/>
          <w:highlight w:val="yellow"/>
          <w:lang w:eastAsia="en-GB"/>
        </w:rPr>
      </w:pPr>
    </w:p>
    <w:p w14:paraId="6762F916" w14:textId="7B52E96B" w:rsidR="00F021D1" w:rsidRPr="008F6DAA" w:rsidRDefault="00F021D1" w:rsidP="00DA2661">
      <w:pPr>
        <w:spacing w:after="0"/>
        <w:jc w:val="left"/>
        <w:rPr>
          <w:rFonts w:ascii="Arial-BoldMT" w:eastAsia="Cambria" w:hAnsi="Arial-BoldMT" w:cs="Arial-BoldMT"/>
          <w:b/>
          <w:bCs/>
          <w:color w:val="auto"/>
          <w:lang w:eastAsia="en-GB"/>
        </w:rPr>
      </w:pPr>
      <w:r w:rsidRPr="008F6DAA">
        <w:rPr>
          <w:rFonts w:eastAsia="Times New Roman" w:cs="Arial"/>
          <w:lang w:eastAsia="en-GB"/>
        </w:rPr>
        <w:t>The budget monitoring position</w:t>
      </w:r>
      <w:r w:rsidR="00D7385F" w:rsidRPr="008F6DAA">
        <w:rPr>
          <w:rFonts w:eastAsia="Times New Roman" w:cs="Arial"/>
          <w:lang w:eastAsia="en-GB"/>
        </w:rPr>
        <w:t xml:space="preserve"> </w:t>
      </w:r>
      <w:r w:rsidRPr="008F6DAA">
        <w:rPr>
          <w:rFonts w:eastAsia="Times New Roman" w:cs="Arial"/>
          <w:lang w:eastAsia="en-GB"/>
        </w:rPr>
        <w:t>for the financial year 2016/17</w:t>
      </w:r>
      <w:r w:rsidR="00D7385F" w:rsidRPr="008F6DAA">
        <w:rPr>
          <w:rFonts w:eastAsia="Times New Roman" w:cs="Arial"/>
          <w:lang w:eastAsia="en-GB"/>
        </w:rPr>
        <w:t xml:space="preserve"> (Appendix A)</w:t>
      </w:r>
      <w:r w:rsidRPr="008F6DAA">
        <w:rPr>
          <w:rFonts w:eastAsia="Times New Roman" w:cs="Arial"/>
          <w:lang w:eastAsia="en-GB"/>
        </w:rPr>
        <w:t xml:space="preserve"> is reporting a forecast </w:t>
      </w:r>
      <w:r w:rsidR="00FF3DE3" w:rsidRPr="008F6DAA">
        <w:rPr>
          <w:rFonts w:eastAsia="Times New Roman" w:cs="Arial"/>
          <w:lang w:eastAsia="en-GB"/>
        </w:rPr>
        <w:t>under</w:t>
      </w:r>
      <w:r w:rsidRPr="008F6DAA">
        <w:rPr>
          <w:rFonts w:eastAsia="Times New Roman" w:cs="Arial"/>
          <w:lang w:eastAsia="en-GB"/>
        </w:rPr>
        <w:t>spend of £</w:t>
      </w:r>
      <w:r w:rsidR="00AC63E3" w:rsidRPr="008F6DAA">
        <w:rPr>
          <w:rFonts w:eastAsia="Times New Roman" w:cs="Arial"/>
          <w:lang w:eastAsia="en-GB"/>
        </w:rPr>
        <w:t>1</w:t>
      </w:r>
      <w:r w:rsidR="000404BF">
        <w:rPr>
          <w:rFonts w:eastAsia="Times New Roman" w:cs="Arial"/>
          <w:lang w:eastAsia="en-GB"/>
        </w:rPr>
        <w:t>5.298</w:t>
      </w:r>
      <w:r w:rsidRPr="008F6DAA">
        <w:rPr>
          <w:rFonts w:eastAsia="Times New Roman" w:cs="Arial"/>
          <w:lang w:eastAsia="en-GB"/>
        </w:rPr>
        <w:t>m.</w:t>
      </w:r>
      <w:r w:rsidR="00DA2661" w:rsidRPr="008F6DAA">
        <w:rPr>
          <w:rFonts w:eastAsia="Times New Roman" w:cs="Arial"/>
          <w:lang w:eastAsia="en-GB"/>
        </w:rPr>
        <w:t xml:space="preserve"> </w:t>
      </w:r>
      <w:r w:rsidR="00DA2661" w:rsidRPr="008F6DAA">
        <w:rPr>
          <w:rFonts w:eastAsia="Times New Roman" w:cs="Arial"/>
          <w:b/>
          <w:lang w:eastAsia="en-GB"/>
        </w:rPr>
        <w:t>Please note that this</w:t>
      </w:r>
      <w:r w:rsidRPr="008F6DAA">
        <w:rPr>
          <w:rFonts w:eastAsia="Times New Roman" w:cs="Arial"/>
          <w:b/>
          <w:lang w:eastAsia="en-GB"/>
        </w:rPr>
        <w:t xml:space="preserve"> </w:t>
      </w:r>
      <w:r w:rsidR="00DA2661" w:rsidRPr="008F6DAA">
        <w:rPr>
          <w:rFonts w:ascii="Arial-BoldMT" w:eastAsia="Cambria" w:hAnsi="Arial-BoldMT" w:cs="Arial-BoldMT"/>
          <w:b/>
          <w:bCs/>
          <w:color w:val="auto"/>
          <w:u w:val="single"/>
          <w:lang w:eastAsia="en-GB"/>
        </w:rPr>
        <w:t>is not</w:t>
      </w:r>
      <w:r w:rsidR="00DA2661" w:rsidRPr="008F6DAA">
        <w:rPr>
          <w:rFonts w:ascii="Arial-BoldMT" w:eastAsia="Cambria" w:hAnsi="Arial-BoldMT" w:cs="Arial-BoldMT"/>
          <w:b/>
          <w:bCs/>
          <w:color w:val="auto"/>
          <w:lang w:eastAsia="en-GB"/>
        </w:rPr>
        <w:t xml:space="preserve"> currently included within the forecast r</w:t>
      </w:r>
      <w:r w:rsidR="00F859BC" w:rsidRPr="008F6DAA">
        <w:rPr>
          <w:rFonts w:ascii="Arial-BoldMT" w:eastAsia="Cambria" w:hAnsi="Arial-BoldMT" w:cs="Arial-BoldMT"/>
          <w:b/>
          <w:bCs/>
          <w:color w:val="auto"/>
          <w:lang w:eastAsia="en-GB"/>
        </w:rPr>
        <w:t>eserves position in this report.</w:t>
      </w:r>
    </w:p>
    <w:p w14:paraId="17784178" w14:textId="77777777" w:rsidR="00F021D1" w:rsidRPr="00F023BE" w:rsidRDefault="00F021D1" w:rsidP="00880A65">
      <w:pPr>
        <w:spacing w:after="0"/>
        <w:rPr>
          <w:rFonts w:cs="Arial"/>
        </w:rPr>
      </w:pPr>
    </w:p>
    <w:p w14:paraId="50F28E0C" w14:textId="51C1CA88" w:rsidR="00F021D1" w:rsidRDefault="00F021D1" w:rsidP="00880A65">
      <w:pPr>
        <w:spacing w:after="0"/>
        <w:rPr>
          <w:rFonts w:cs="Arial"/>
        </w:rPr>
      </w:pPr>
      <w:r w:rsidRPr="00F023BE">
        <w:rPr>
          <w:rFonts w:cs="Arial"/>
        </w:rPr>
        <w:t>In summary</w:t>
      </w:r>
      <w:r w:rsidR="00880A65" w:rsidRPr="00F023BE">
        <w:rPr>
          <w:rFonts w:cs="Arial"/>
        </w:rPr>
        <w:t>, by 31st March 2018 it is expected that there will only be the £36.000m County Fund and a residual £</w:t>
      </w:r>
      <w:r w:rsidR="008C0085" w:rsidRPr="00F023BE">
        <w:rPr>
          <w:rFonts w:cs="Arial"/>
        </w:rPr>
        <w:t>9</w:t>
      </w:r>
      <w:r w:rsidR="00B85F86">
        <w:rPr>
          <w:rFonts w:cs="Arial"/>
        </w:rPr>
        <w:t>1.6</w:t>
      </w:r>
      <w:r w:rsidR="00F023BE" w:rsidRPr="00F023BE">
        <w:rPr>
          <w:rFonts w:cs="Arial"/>
        </w:rPr>
        <w:t>99</w:t>
      </w:r>
      <w:r w:rsidR="00F023BE">
        <w:rPr>
          <w:rFonts w:cs="Arial"/>
        </w:rPr>
        <w:t>m</w:t>
      </w:r>
      <w:r w:rsidR="00880A65" w:rsidRPr="00F023BE">
        <w:rPr>
          <w:rFonts w:cs="Arial"/>
        </w:rPr>
        <w:t xml:space="preserve"> of service reserves which includes £</w:t>
      </w:r>
      <w:r w:rsidR="00BC6E85" w:rsidRPr="00F023BE">
        <w:rPr>
          <w:rFonts w:cs="Arial"/>
        </w:rPr>
        <w:t>8.35</w:t>
      </w:r>
      <w:r w:rsidR="00362FCA" w:rsidRPr="00F023BE">
        <w:rPr>
          <w:rFonts w:cs="Arial"/>
        </w:rPr>
        <w:t>4</w:t>
      </w:r>
      <w:r w:rsidR="00880A65" w:rsidRPr="00F023BE">
        <w:rPr>
          <w:rFonts w:cs="Arial"/>
        </w:rPr>
        <w:t>m school PFI expenditure and £</w:t>
      </w:r>
      <w:r w:rsidR="00BC6E85" w:rsidRPr="00F023BE">
        <w:rPr>
          <w:rFonts w:cs="Arial"/>
        </w:rPr>
        <w:t>4.944</w:t>
      </w:r>
      <w:r w:rsidR="00880A65" w:rsidRPr="00F023BE">
        <w:rPr>
          <w:rFonts w:cs="Arial"/>
        </w:rPr>
        <w:t>m which is not LCC money</w:t>
      </w:r>
      <w:r w:rsidR="00FF458E" w:rsidRPr="00F023BE">
        <w:rPr>
          <w:rFonts w:cs="Arial"/>
        </w:rPr>
        <w:t xml:space="preserve">, meaning in effect the available balance of </w:t>
      </w:r>
      <w:r w:rsidR="00F32C12" w:rsidRPr="00F023BE">
        <w:rPr>
          <w:rFonts w:cs="Arial"/>
        </w:rPr>
        <w:t>£</w:t>
      </w:r>
      <w:r w:rsidR="008C0085" w:rsidRPr="00F023BE">
        <w:rPr>
          <w:rFonts w:cs="Arial"/>
        </w:rPr>
        <w:t>7</w:t>
      </w:r>
      <w:r w:rsidR="00362FCA" w:rsidRPr="00F023BE">
        <w:rPr>
          <w:rFonts w:cs="Arial"/>
        </w:rPr>
        <w:t>8.</w:t>
      </w:r>
      <w:r w:rsidR="00B85F86">
        <w:rPr>
          <w:rFonts w:cs="Arial"/>
        </w:rPr>
        <w:t>4</w:t>
      </w:r>
      <w:r w:rsidR="00F023BE" w:rsidRPr="00F023BE">
        <w:rPr>
          <w:rFonts w:cs="Arial"/>
        </w:rPr>
        <w:t>01</w:t>
      </w:r>
      <w:r w:rsidR="00FF458E" w:rsidRPr="00F023BE">
        <w:rPr>
          <w:rFonts w:cs="Arial"/>
        </w:rPr>
        <w:t>m</w:t>
      </w:r>
      <w:r w:rsidR="00880A65" w:rsidRPr="00F023BE">
        <w:rPr>
          <w:rFonts w:cs="Arial"/>
        </w:rPr>
        <w:t>.</w:t>
      </w:r>
      <w:r w:rsidR="00231C93" w:rsidRPr="00F023BE">
        <w:rPr>
          <w:rFonts w:cs="Arial"/>
        </w:rPr>
        <w:t xml:space="preserve"> </w:t>
      </w:r>
      <w:r w:rsidR="00880A65" w:rsidRPr="00F023BE">
        <w:rPr>
          <w:rFonts w:cs="Arial"/>
        </w:rPr>
        <w:t>All other reserves will have been spent.</w:t>
      </w:r>
      <w:r w:rsidRPr="00F023BE">
        <w:rPr>
          <w:rFonts w:cs="Arial"/>
        </w:rPr>
        <w:t xml:space="preserve"> If the additional </w:t>
      </w:r>
      <w:r w:rsidR="00FF3DE3" w:rsidRPr="00F023BE">
        <w:rPr>
          <w:rFonts w:cs="Arial"/>
        </w:rPr>
        <w:t>contribution from revenue</w:t>
      </w:r>
      <w:r w:rsidRPr="00F023BE">
        <w:rPr>
          <w:rFonts w:cs="Arial"/>
        </w:rPr>
        <w:t xml:space="preserve"> </w:t>
      </w:r>
      <w:r w:rsidR="00FF458E" w:rsidRPr="00F023BE">
        <w:rPr>
          <w:rFonts w:cs="Arial"/>
        </w:rPr>
        <w:t xml:space="preserve">is </w:t>
      </w:r>
      <w:r w:rsidR="00FF3DE3" w:rsidRPr="00F023BE">
        <w:rPr>
          <w:rFonts w:cs="Arial"/>
        </w:rPr>
        <w:t>available</w:t>
      </w:r>
      <w:r w:rsidR="00FF458E" w:rsidRPr="00F023BE">
        <w:rPr>
          <w:rFonts w:cs="Arial"/>
        </w:rPr>
        <w:t xml:space="preserve"> of </w:t>
      </w:r>
      <w:r w:rsidRPr="00F023BE">
        <w:rPr>
          <w:rFonts w:cs="Arial"/>
        </w:rPr>
        <w:t>£</w:t>
      </w:r>
      <w:r w:rsidR="00AC63E3" w:rsidRPr="00F023BE">
        <w:rPr>
          <w:rFonts w:cs="Arial"/>
        </w:rPr>
        <w:t>1</w:t>
      </w:r>
      <w:r w:rsidR="00F023BE" w:rsidRPr="00F023BE">
        <w:rPr>
          <w:rFonts w:cs="Arial"/>
        </w:rPr>
        <w:t>5.298</w:t>
      </w:r>
      <w:r w:rsidRPr="00F023BE">
        <w:rPr>
          <w:rFonts w:cs="Arial"/>
        </w:rPr>
        <w:t xml:space="preserve">m (budget monitoring forecast </w:t>
      </w:r>
      <w:r w:rsidR="00662539" w:rsidRPr="00F023BE">
        <w:rPr>
          <w:rFonts w:cs="Arial"/>
        </w:rPr>
        <w:t>under</w:t>
      </w:r>
      <w:r w:rsidRPr="00F023BE">
        <w:rPr>
          <w:rFonts w:cs="Arial"/>
        </w:rPr>
        <w:t>spend)</w:t>
      </w:r>
      <w:r w:rsidR="00FF458E" w:rsidRPr="00F023BE">
        <w:rPr>
          <w:rFonts w:cs="Arial"/>
        </w:rPr>
        <w:t>,</w:t>
      </w:r>
      <w:r w:rsidRPr="00F023BE">
        <w:rPr>
          <w:rFonts w:cs="Arial"/>
        </w:rPr>
        <w:t xml:space="preserve"> this will result in a </w:t>
      </w:r>
      <w:r w:rsidR="00B85F86">
        <w:rPr>
          <w:rFonts w:cs="Arial"/>
        </w:rPr>
        <w:t xml:space="preserve">revised </w:t>
      </w:r>
      <w:r w:rsidRPr="00F023BE">
        <w:rPr>
          <w:rFonts w:cs="Arial"/>
        </w:rPr>
        <w:t>balance of service reserves being available as at 31</w:t>
      </w:r>
      <w:r w:rsidRPr="00F023BE">
        <w:rPr>
          <w:rFonts w:cs="Arial"/>
          <w:vertAlign w:val="superscript"/>
        </w:rPr>
        <w:t>st</w:t>
      </w:r>
      <w:r w:rsidRPr="00F023BE">
        <w:rPr>
          <w:rFonts w:cs="Arial"/>
        </w:rPr>
        <w:t xml:space="preserve"> March 2018 of £</w:t>
      </w:r>
      <w:r w:rsidR="008C0085" w:rsidRPr="00F023BE">
        <w:rPr>
          <w:rFonts w:cs="Arial"/>
        </w:rPr>
        <w:t>9</w:t>
      </w:r>
      <w:r w:rsidR="00B85F86">
        <w:rPr>
          <w:rFonts w:cs="Arial"/>
        </w:rPr>
        <w:t>3.69</w:t>
      </w:r>
      <w:r w:rsidR="00F023BE" w:rsidRPr="00F023BE">
        <w:rPr>
          <w:rFonts w:cs="Arial"/>
        </w:rPr>
        <w:t>9</w:t>
      </w:r>
      <w:r w:rsidR="00FA5EC6" w:rsidRPr="00F023BE">
        <w:rPr>
          <w:rFonts w:cs="Arial"/>
        </w:rPr>
        <w:t>m</w:t>
      </w:r>
      <w:r w:rsidR="00692A2A" w:rsidRPr="00F023BE">
        <w:rPr>
          <w:rFonts w:cs="Arial"/>
        </w:rPr>
        <w:t>.</w:t>
      </w:r>
    </w:p>
    <w:p w14:paraId="3369FC2C" w14:textId="77777777" w:rsidR="00834ECA" w:rsidRPr="00362FCA" w:rsidRDefault="00834ECA" w:rsidP="00880A65">
      <w:pPr>
        <w:spacing w:after="0"/>
        <w:rPr>
          <w:rFonts w:cs="Arial"/>
        </w:rPr>
      </w:pPr>
    </w:p>
    <w:p w14:paraId="03FBFE94" w14:textId="6D0EF2D0" w:rsidR="00834ECA" w:rsidRPr="00D4424D" w:rsidRDefault="00834ECA" w:rsidP="00880A65">
      <w:pPr>
        <w:spacing w:after="0"/>
        <w:rPr>
          <w:rFonts w:cs="Arial"/>
          <w:highlight w:val="yellow"/>
        </w:rPr>
      </w:pPr>
      <w:r w:rsidRPr="00362FCA">
        <w:rPr>
          <w:rFonts w:cs="Arial"/>
        </w:rPr>
        <w:t xml:space="preserve">When reviewing the County Council's reserves in conjunction with the Medium Term Financial Strategy (Appendix </w:t>
      </w:r>
      <w:r w:rsidR="00355458">
        <w:rPr>
          <w:rFonts w:cs="Arial"/>
        </w:rPr>
        <w:t>B</w:t>
      </w:r>
      <w:r w:rsidRPr="00362FCA">
        <w:rPr>
          <w:rFonts w:cs="Arial"/>
        </w:rPr>
        <w:t>) the funding requirement to bridge the financial gap in 2018/19 would total £</w:t>
      </w:r>
      <w:r w:rsidR="00362FCA">
        <w:rPr>
          <w:rFonts w:cs="Arial"/>
        </w:rPr>
        <w:t>85.</w:t>
      </w:r>
      <w:r w:rsidR="00362FCA" w:rsidRPr="00362FCA">
        <w:rPr>
          <w:rFonts w:cs="Arial"/>
        </w:rPr>
        <w:t>162</w:t>
      </w:r>
      <w:r w:rsidRPr="00362FCA">
        <w:rPr>
          <w:rFonts w:cs="Arial"/>
        </w:rPr>
        <w:t xml:space="preserve">m. </w:t>
      </w:r>
      <w:r w:rsidR="00BD0676" w:rsidRPr="00362FCA">
        <w:rPr>
          <w:rFonts w:cs="Arial"/>
        </w:rPr>
        <w:t>Although there are reserves available at 31</w:t>
      </w:r>
      <w:r w:rsidR="00BD0676" w:rsidRPr="00362FCA">
        <w:rPr>
          <w:rFonts w:cs="Arial"/>
          <w:vertAlign w:val="superscript"/>
        </w:rPr>
        <w:t>st</w:t>
      </w:r>
      <w:r w:rsidR="008B400F" w:rsidRPr="00362FCA">
        <w:rPr>
          <w:rFonts w:cs="Arial"/>
        </w:rPr>
        <w:t xml:space="preserve"> March 2018</w:t>
      </w:r>
      <w:r w:rsidR="00BD0676" w:rsidRPr="00362FCA">
        <w:rPr>
          <w:rFonts w:cs="Arial"/>
        </w:rPr>
        <w:t xml:space="preserve"> of £</w:t>
      </w:r>
      <w:r w:rsidR="003340DC">
        <w:rPr>
          <w:rFonts w:cs="Arial"/>
        </w:rPr>
        <w:t>9</w:t>
      </w:r>
      <w:r w:rsidR="00B85F86">
        <w:rPr>
          <w:rFonts w:cs="Arial"/>
        </w:rPr>
        <w:t>3</w:t>
      </w:r>
      <w:r w:rsidR="003340DC">
        <w:rPr>
          <w:rFonts w:cs="Arial"/>
        </w:rPr>
        <w:t>.</w:t>
      </w:r>
      <w:r w:rsidR="00B85F86">
        <w:rPr>
          <w:rFonts w:cs="Arial"/>
        </w:rPr>
        <w:t>6</w:t>
      </w:r>
      <w:r w:rsidR="003340DC">
        <w:rPr>
          <w:rFonts w:cs="Arial"/>
        </w:rPr>
        <w:t>99</w:t>
      </w:r>
      <w:r w:rsidR="00BD0676" w:rsidRPr="00362FCA">
        <w:rPr>
          <w:rFonts w:cs="Arial"/>
        </w:rPr>
        <w:t xml:space="preserve">m (if the currently forecast underspend is achieved) there are commitments in 2018/19 of </w:t>
      </w:r>
      <w:r w:rsidR="008B400F" w:rsidRPr="00362FCA">
        <w:rPr>
          <w:rFonts w:cs="Arial"/>
        </w:rPr>
        <w:t>£10.</w:t>
      </w:r>
      <w:r w:rsidR="00AC5F2E">
        <w:rPr>
          <w:rFonts w:cs="Arial"/>
        </w:rPr>
        <w:t>450</w:t>
      </w:r>
      <w:r w:rsidR="00BD0676" w:rsidRPr="00362FCA">
        <w:rPr>
          <w:rFonts w:cs="Arial"/>
        </w:rPr>
        <w:t xml:space="preserve">m (excluding non LCC commitments) therefore the available balance to support the 2018/19 budget is </w:t>
      </w:r>
      <w:r w:rsidR="00CA332D" w:rsidRPr="00362FCA">
        <w:rPr>
          <w:rFonts w:cs="Arial"/>
        </w:rPr>
        <w:t>£</w:t>
      </w:r>
      <w:r w:rsidR="003340DC">
        <w:rPr>
          <w:rFonts w:cs="Arial"/>
        </w:rPr>
        <w:t>83.</w:t>
      </w:r>
      <w:r w:rsidR="00B85F86">
        <w:rPr>
          <w:rFonts w:cs="Arial"/>
        </w:rPr>
        <w:t>2</w:t>
      </w:r>
      <w:r w:rsidR="00D70EDA">
        <w:rPr>
          <w:rFonts w:cs="Arial"/>
        </w:rPr>
        <w:t>4</w:t>
      </w:r>
      <w:r w:rsidR="003340DC">
        <w:rPr>
          <w:rFonts w:cs="Arial"/>
        </w:rPr>
        <w:t>9</w:t>
      </w:r>
      <w:r w:rsidR="00BD0676" w:rsidRPr="00362FCA">
        <w:rPr>
          <w:rFonts w:cs="Arial"/>
        </w:rPr>
        <w:t>m resulting in there</w:t>
      </w:r>
      <w:r w:rsidRPr="00362FCA">
        <w:rPr>
          <w:rFonts w:cs="Arial"/>
        </w:rPr>
        <w:t xml:space="preserve"> </w:t>
      </w:r>
      <w:r w:rsidR="00362FCA" w:rsidRPr="00362FCA">
        <w:rPr>
          <w:rFonts w:cs="Arial"/>
        </w:rPr>
        <w:t>not</w:t>
      </w:r>
      <w:r w:rsidRPr="00362FCA">
        <w:rPr>
          <w:rFonts w:cs="Arial"/>
        </w:rPr>
        <w:t xml:space="preserve"> be</w:t>
      </w:r>
      <w:r w:rsidR="00BD0676" w:rsidRPr="00362FCA">
        <w:rPr>
          <w:rFonts w:cs="Arial"/>
        </w:rPr>
        <w:t>ing</w:t>
      </w:r>
      <w:r w:rsidRPr="00362FCA">
        <w:rPr>
          <w:rFonts w:cs="Arial"/>
        </w:rPr>
        <w:t xml:space="preserve"> sufficient funds within reserves to support the 2018/19 budget. </w:t>
      </w:r>
      <w:r w:rsidR="00355458">
        <w:rPr>
          <w:rFonts w:cs="Arial"/>
        </w:rPr>
        <w:t>The table in Section 2</w:t>
      </w:r>
      <w:r w:rsidR="00E5047B">
        <w:rPr>
          <w:rFonts w:cs="Arial"/>
        </w:rPr>
        <w:t xml:space="preserve"> clearly </w:t>
      </w:r>
      <w:r w:rsidR="00E5047B">
        <w:rPr>
          <w:rFonts w:cs="Arial"/>
        </w:rPr>
        <w:lastRenderedPageBreak/>
        <w:t>demonstrates that there ar</w:t>
      </w:r>
      <w:r w:rsidR="00ED0F97">
        <w:rPr>
          <w:rFonts w:cs="Arial"/>
        </w:rPr>
        <w:t>e</w:t>
      </w:r>
      <w:r w:rsidR="00E5047B">
        <w:rPr>
          <w:rFonts w:cs="Arial"/>
        </w:rPr>
        <w:t xml:space="preserve"> not sufficient funds to support the budget gap in 2018/19</w:t>
      </w:r>
      <w:r w:rsidR="00355458">
        <w:rPr>
          <w:rFonts w:cs="Arial"/>
        </w:rPr>
        <w:t>.</w:t>
      </w:r>
      <w:r w:rsidR="00E5047B">
        <w:rPr>
          <w:rFonts w:cs="Arial"/>
        </w:rPr>
        <w:t xml:space="preserve"> </w:t>
      </w:r>
      <w:r w:rsidR="00355458">
        <w:rPr>
          <w:rFonts w:cs="Arial"/>
        </w:rPr>
        <w:t>I</w:t>
      </w:r>
      <w:r w:rsidR="00E5047B">
        <w:rPr>
          <w:rFonts w:cs="Arial"/>
        </w:rPr>
        <w:t xml:space="preserve">n order to set a legal budget </w:t>
      </w:r>
      <w:r w:rsidR="00355458">
        <w:rPr>
          <w:rFonts w:cs="Arial"/>
        </w:rPr>
        <w:t xml:space="preserve">therefore </w:t>
      </w:r>
      <w:r w:rsidR="00E5047B">
        <w:rPr>
          <w:rFonts w:cs="Arial"/>
        </w:rPr>
        <w:t xml:space="preserve">further savings will need to be made. </w:t>
      </w:r>
    </w:p>
    <w:p w14:paraId="59484D4B" w14:textId="00B284F3" w:rsidR="00B17597" w:rsidRPr="00D421CC" w:rsidRDefault="00B17597">
      <w:pPr>
        <w:autoSpaceDE/>
        <w:autoSpaceDN/>
        <w:adjustRightInd/>
        <w:spacing w:after="0"/>
        <w:jc w:val="left"/>
        <w:rPr>
          <w:rFonts w:cs="Arial"/>
          <w:highlight w:val="yellow"/>
        </w:rPr>
      </w:pPr>
    </w:p>
    <w:p w14:paraId="3FB5753F" w14:textId="17143DFD" w:rsidR="00C91D57" w:rsidRPr="00AA31EA" w:rsidRDefault="005401B6" w:rsidP="00140EB5">
      <w:pPr>
        <w:autoSpaceDE/>
        <w:autoSpaceDN/>
        <w:adjustRightInd/>
        <w:spacing w:after="0"/>
        <w:rPr>
          <w:rFonts w:cs="Arial"/>
        </w:rPr>
      </w:pPr>
      <w:r w:rsidRPr="00AA31EA">
        <w:rPr>
          <w:rFonts w:cs="Arial"/>
        </w:rPr>
        <w:t xml:space="preserve">In summary, this report indicates that there </w:t>
      </w:r>
      <w:r w:rsidR="000404BF">
        <w:rPr>
          <w:rFonts w:cs="Arial"/>
        </w:rPr>
        <w:t>are</w:t>
      </w:r>
      <w:r w:rsidRPr="00AA31EA">
        <w:rPr>
          <w:rFonts w:cs="Arial"/>
        </w:rPr>
        <w:t xml:space="preserve"> sufficient funds within </w:t>
      </w:r>
      <w:r w:rsidR="000404BF">
        <w:rPr>
          <w:rFonts w:cs="Arial"/>
        </w:rPr>
        <w:t>the Transitional Reserve</w:t>
      </w:r>
      <w:r w:rsidRPr="00AA31EA">
        <w:rPr>
          <w:rFonts w:cs="Arial"/>
        </w:rPr>
        <w:t xml:space="preserve"> to deliver a balanced budget in 2017/18</w:t>
      </w:r>
      <w:r w:rsidR="000404BF">
        <w:rPr>
          <w:rFonts w:cs="Arial"/>
        </w:rPr>
        <w:t xml:space="preserve"> as per the agreed financial strategy</w:t>
      </w:r>
      <w:r w:rsidRPr="00AA31EA">
        <w:rPr>
          <w:rFonts w:cs="Arial"/>
        </w:rPr>
        <w:t>. However this is dependent upon a number of key factors</w:t>
      </w:r>
      <w:r w:rsidR="005451B7">
        <w:rPr>
          <w:rFonts w:cs="Arial"/>
        </w:rPr>
        <w:t xml:space="preserve"> and risks which are as follows</w:t>
      </w:r>
      <w:r w:rsidRPr="00AA31EA">
        <w:rPr>
          <w:rFonts w:cs="Arial"/>
        </w:rPr>
        <w:t>:</w:t>
      </w:r>
    </w:p>
    <w:p w14:paraId="095B2128" w14:textId="21C3A499" w:rsidR="005401B6" w:rsidRPr="005451B7" w:rsidRDefault="005401B6" w:rsidP="005451B7">
      <w:pPr>
        <w:autoSpaceDE/>
        <w:autoSpaceDN/>
        <w:adjustRightInd/>
        <w:spacing w:after="0"/>
        <w:rPr>
          <w:rFonts w:cs="Arial"/>
        </w:rPr>
      </w:pPr>
    </w:p>
    <w:p w14:paraId="03F25EE1" w14:textId="4E3FB46B" w:rsidR="005401B6" w:rsidRPr="00AA31EA" w:rsidRDefault="005401B6" w:rsidP="00140EB5">
      <w:pPr>
        <w:pStyle w:val="ListParagraph"/>
        <w:numPr>
          <w:ilvl w:val="0"/>
          <w:numId w:val="40"/>
        </w:numPr>
        <w:autoSpaceDE/>
        <w:autoSpaceDN/>
        <w:adjustRightInd/>
        <w:spacing w:after="0"/>
        <w:rPr>
          <w:rFonts w:cs="Arial"/>
        </w:rPr>
      </w:pPr>
      <w:r w:rsidRPr="00AA31EA">
        <w:rPr>
          <w:rFonts w:cs="Arial"/>
        </w:rPr>
        <w:t xml:space="preserve">All values within reserves that are currently reported to be available funds are transferred into the transitional reserves with no further commitments emerging in these areas now that the transfer has taken place. </w:t>
      </w:r>
    </w:p>
    <w:p w14:paraId="64F2B612" w14:textId="014ACA38" w:rsidR="005401B6" w:rsidRPr="00AA31EA" w:rsidRDefault="005401B6" w:rsidP="00140EB5">
      <w:pPr>
        <w:pStyle w:val="ListParagraph"/>
        <w:numPr>
          <w:ilvl w:val="0"/>
          <w:numId w:val="40"/>
        </w:numPr>
        <w:autoSpaceDE/>
        <w:autoSpaceDN/>
        <w:adjustRightInd/>
        <w:spacing w:after="0"/>
        <w:rPr>
          <w:rFonts w:cs="Arial"/>
        </w:rPr>
      </w:pPr>
      <w:r w:rsidRPr="00AA31EA">
        <w:rPr>
          <w:rFonts w:cs="Arial"/>
        </w:rPr>
        <w:t>There is limited slippage on the agreed savings progr</w:t>
      </w:r>
      <w:r w:rsidR="00355458">
        <w:rPr>
          <w:rFonts w:cs="Arial"/>
        </w:rPr>
        <w:t>amme for 2017/18 and 2018/19. A</w:t>
      </w:r>
      <w:r w:rsidRPr="00AA31EA">
        <w:rPr>
          <w:rFonts w:cs="Arial"/>
        </w:rPr>
        <w:t xml:space="preserve">ny slippage will result in a requirement for funding from reserves. </w:t>
      </w:r>
    </w:p>
    <w:p w14:paraId="65CC3F25" w14:textId="77777777" w:rsidR="005401B6" w:rsidRDefault="005401B6" w:rsidP="005401B6">
      <w:pPr>
        <w:autoSpaceDE/>
        <w:autoSpaceDN/>
        <w:adjustRightInd/>
        <w:spacing w:after="0"/>
        <w:jc w:val="left"/>
        <w:rPr>
          <w:rFonts w:cs="Arial"/>
        </w:rPr>
      </w:pPr>
    </w:p>
    <w:p w14:paraId="0700C84D" w14:textId="77777777" w:rsidR="00C91D57" w:rsidRDefault="00C91D57">
      <w:pPr>
        <w:autoSpaceDE/>
        <w:autoSpaceDN/>
        <w:adjustRightInd/>
        <w:spacing w:after="0"/>
        <w:jc w:val="left"/>
        <w:rPr>
          <w:rFonts w:cs="Arial"/>
        </w:rPr>
      </w:pPr>
    </w:p>
    <w:p w14:paraId="4410E440" w14:textId="77777777" w:rsidR="00C91D57" w:rsidRDefault="00C91D57">
      <w:pPr>
        <w:autoSpaceDE/>
        <w:autoSpaceDN/>
        <w:adjustRightInd/>
        <w:spacing w:after="0"/>
        <w:jc w:val="left"/>
        <w:rPr>
          <w:rFonts w:cs="Arial"/>
        </w:rPr>
      </w:pPr>
    </w:p>
    <w:p w14:paraId="57114084" w14:textId="77777777" w:rsidR="00C91D57" w:rsidRDefault="00C91D57">
      <w:pPr>
        <w:autoSpaceDE/>
        <w:autoSpaceDN/>
        <w:adjustRightInd/>
        <w:spacing w:after="0"/>
        <w:jc w:val="left"/>
        <w:rPr>
          <w:rFonts w:cs="Arial"/>
        </w:rPr>
      </w:pPr>
    </w:p>
    <w:p w14:paraId="4BE4FCEA" w14:textId="77777777" w:rsidR="00C91D57" w:rsidRDefault="00C91D57">
      <w:pPr>
        <w:autoSpaceDE/>
        <w:autoSpaceDN/>
        <w:adjustRightInd/>
        <w:spacing w:after="0"/>
        <w:jc w:val="left"/>
        <w:rPr>
          <w:rFonts w:cs="Arial"/>
        </w:rPr>
      </w:pPr>
    </w:p>
    <w:p w14:paraId="2AC78B9B" w14:textId="77777777" w:rsidR="00C91D57" w:rsidRDefault="00C91D57">
      <w:pPr>
        <w:autoSpaceDE/>
        <w:autoSpaceDN/>
        <w:adjustRightInd/>
        <w:spacing w:after="0"/>
        <w:jc w:val="left"/>
        <w:rPr>
          <w:rFonts w:cs="Arial"/>
        </w:rPr>
      </w:pPr>
    </w:p>
    <w:p w14:paraId="444370AE" w14:textId="77777777" w:rsidR="00C91D57" w:rsidRDefault="00C91D57">
      <w:pPr>
        <w:autoSpaceDE/>
        <w:autoSpaceDN/>
        <w:adjustRightInd/>
        <w:spacing w:after="0"/>
        <w:jc w:val="left"/>
        <w:rPr>
          <w:rFonts w:cs="Arial"/>
        </w:rPr>
      </w:pPr>
    </w:p>
    <w:p w14:paraId="6A46A5F7" w14:textId="77777777" w:rsidR="00C91D57" w:rsidRDefault="00C91D57">
      <w:pPr>
        <w:autoSpaceDE/>
        <w:autoSpaceDN/>
        <w:adjustRightInd/>
        <w:spacing w:after="0"/>
        <w:jc w:val="left"/>
        <w:rPr>
          <w:rFonts w:cs="Arial"/>
        </w:rPr>
      </w:pPr>
    </w:p>
    <w:p w14:paraId="3359DE01" w14:textId="77777777" w:rsidR="00C91D57" w:rsidRDefault="00C91D57">
      <w:pPr>
        <w:autoSpaceDE/>
        <w:autoSpaceDN/>
        <w:adjustRightInd/>
        <w:spacing w:after="0"/>
        <w:jc w:val="left"/>
        <w:rPr>
          <w:rFonts w:cs="Arial"/>
        </w:rPr>
      </w:pPr>
    </w:p>
    <w:p w14:paraId="19A6AE13" w14:textId="77777777" w:rsidR="00C91D57" w:rsidRDefault="00C91D57">
      <w:pPr>
        <w:autoSpaceDE/>
        <w:autoSpaceDN/>
        <w:adjustRightInd/>
        <w:spacing w:after="0"/>
        <w:jc w:val="left"/>
        <w:rPr>
          <w:rFonts w:cs="Arial"/>
        </w:rPr>
      </w:pPr>
    </w:p>
    <w:p w14:paraId="2A70BCFC" w14:textId="77777777" w:rsidR="00C91D57" w:rsidRDefault="00C91D57">
      <w:pPr>
        <w:autoSpaceDE/>
        <w:autoSpaceDN/>
        <w:adjustRightInd/>
        <w:spacing w:after="0"/>
        <w:jc w:val="left"/>
        <w:rPr>
          <w:rFonts w:cs="Arial"/>
        </w:rPr>
      </w:pPr>
    </w:p>
    <w:p w14:paraId="420EDE39" w14:textId="77777777" w:rsidR="00C91D57" w:rsidRDefault="00C91D57">
      <w:pPr>
        <w:autoSpaceDE/>
        <w:autoSpaceDN/>
        <w:adjustRightInd/>
        <w:spacing w:after="0"/>
        <w:jc w:val="left"/>
        <w:rPr>
          <w:rFonts w:cs="Arial"/>
        </w:rPr>
      </w:pPr>
    </w:p>
    <w:p w14:paraId="4F6FFFE8" w14:textId="77777777" w:rsidR="00C91D57" w:rsidRDefault="00C91D57">
      <w:pPr>
        <w:autoSpaceDE/>
        <w:autoSpaceDN/>
        <w:adjustRightInd/>
        <w:spacing w:after="0"/>
        <w:jc w:val="left"/>
        <w:rPr>
          <w:rFonts w:cs="Arial"/>
        </w:rPr>
      </w:pPr>
    </w:p>
    <w:p w14:paraId="16B940E6" w14:textId="77777777" w:rsidR="00C91D57" w:rsidRDefault="00C91D57">
      <w:pPr>
        <w:autoSpaceDE/>
        <w:autoSpaceDN/>
        <w:adjustRightInd/>
        <w:spacing w:after="0"/>
        <w:jc w:val="left"/>
        <w:rPr>
          <w:rFonts w:cs="Arial"/>
        </w:rPr>
      </w:pPr>
    </w:p>
    <w:p w14:paraId="5BFB7452" w14:textId="77777777" w:rsidR="00C91D57" w:rsidRDefault="00C91D57">
      <w:pPr>
        <w:autoSpaceDE/>
        <w:autoSpaceDN/>
        <w:adjustRightInd/>
        <w:spacing w:after="0"/>
        <w:jc w:val="left"/>
        <w:rPr>
          <w:rFonts w:cs="Arial"/>
        </w:rPr>
      </w:pPr>
    </w:p>
    <w:p w14:paraId="58AA538A" w14:textId="77777777" w:rsidR="00C91D57" w:rsidRDefault="00C91D57">
      <w:pPr>
        <w:autoSpaceDE/>
        <w:autoSpaceDN/>
        <w:adjustRightInd/>
        <w:spacing w:after="0"/>
        <w:jc w:val="left"/>
        <w:rPr>
          <w:rFonts w:cs="Arial"/>
        </w:rPr>
      </w:pPr>
    </w:p>
    <w:p w14:paraId="643F2EE3" w14:textId="77777777" w:rsidR="00C91D57" w:rsidRDefault="00C91D57">
      <w:pPr>
        <w:autoSpaceDE/>
        <w:autoSpaceDN/>
        <w:adjustRightInd/>
        <w:spacing w:after="0"/>
        <w:jc w:val="left"/>
        <w:rPr>
          <w:rFonts w:cs="Arial"/>
        </w:rPr>
      </w:pPr>
    </w:p>
    <w:p w14:paraId="66F69EAE" w14:textId="77777777" w:rsidR="00C91D57" w:rsidRDefault="00C91D57">
      <w:pPr>
        <w:autoSpaceDE/>
        <w:autoSpaceDN/>
        <w:adjustRightInd/>
        <w:spacing w:after="0"/>
        <w:jc w:val="left"/>
        <w:rPr>
          <w:rFonts w:cs="Arial"/>
        </w:rPr>
      </w:pPr>
    </w:p>
    <w:p w14:paraId="1E326410" w14:textId="77777777" w:rsidR="00C91D57" w:rsidRDefault="00C91D57">
      <w:pPr>
        <w:autoSpaceDE/>
        <w:autoSpaceDN/>
        <w:adjustRightInd/>
        <w:spacing w:after="0"/>
        <w:jc w:val="left"/>
        <w:rPr>
          <w:rFonts w:cs="Arial"/>
        </w:rPr>
      </w:pPr>
    </w:p>
    <w:p w14:paraId="0E356E0A" w14:textId="77777777" w:rsidR="00C91D57" w:rsidRDefault="00C91D57">
      <w:pPr>
        <w:autoSpaceDE/>
        <w:autoSpaceDN/>
        <w:adjustRightInd/>
        <w:spacing w:after="0"/>
        <w:jc w:val="left"/>
        <w:rPr>
          <w:rFonts w:cs="Arial"/>
        </w:rPr>
      </w:pPr>
    </w:p>
    <w:p w14:paraId="32CB4043" w14:textId="77777777" w:rsidR="00C91D57" w:rsidRDefault="00C91D57">
      <w:pPr>
        <w:autoSpaceDE/>
        <w:autoSpaceDN/>
        <w:adjustRightInd/>
        <w:spacing w:after="0"/>
        <w:jc w:val="left"/>
        <w:rPr>
          <w:rFonts w:cs="Arial"/>
        </w:rPr>
      </w:pPr>
    </w:p>
    <w:p w14:paraId="3A6D20E2" w14:textId="77777777" w:rsidR="00C91D57" w:rsidRDefault="00C91D57">
      <w:pPr>
        <w:autoSpaceDE/>
        <w:autoSpaceDN/>
        <w:adjustRightInd/>
        <w:spacing w:after="0"/>
        <w:jc w:val="left"/>
        <w:rPr>
          <w:rFonts w:cs="Arial"/>
        </w:rPr>
      </w:pPr>
    </w:p>
    <w:p w14:paraId="07935014" w14:textId="77777777" w:rsidR="00C91D57" w:rsidRDefault="00C91D57">
      <w:pPr>
        <w:autoSpaceDE/>
        <w:autoSpaceDN/>
        <w:adjustRightInd/>
        <w:spacing w:after="0"/>
        <w:jc w:val="left"/>
        <w:rPr>
          <w:rFonts w:cs="Arial"/>
        </w:rPr>
      </w:pPr>
    </w:p>
    <w:p w14:paraId="3973B7CD" w14:textId="77777777" w:rsidR="00C91D57" w:rsidRDefault="00C91D57">
      <w:pPr>
        <w:autoSpaceDE/>
        <w:autoSpaceDN/>
        <w:adjustRightInd/>
        <w:spacing w:after="0"/>
        <w:jc w:val="left"/>
        <w:rPr>
          <w:rFonts w:cs="Arial"/>
        </w:rPr>
      </w:pPr>
    </w:p>
    <w:p w14:paraId="275F1794" w14:textId="77777777" w:rsidR="00C91D57" w:rsidRDefault="00C91D57">
      <w:pPr>
        <w:autoSpaceDE/>
        <w:autoSpaceDN/>
        <w:adjustRightInd/>
        <w:spacing w:after="0"/>
        <w:jc w:val="left"/>
        <w:rPr>
          <w:rFonts w:cs="Arial"/>
        </w:rPr>
      </w:pPr>
    </w:p>
    <w:p w14:paraId="06185605" w14:textId="77777777" w:rsidR="00C91D57" w:rsidRDefault="00C91D57">
      <w:pPr>
        <w:autoSpaceDE/>
        <w:autoSpaceDN/>
        <w:adjustRightInd/>
        <w:spacing w:after="0"/>
        <w:jc w:val="left"/>
        <w:rPr>
          <w:rFonts w:cs="Arial"/>
        </w:rPr>
      </w:pPr>
    </w:p>
    <w:p w14:paraId="6EA8BBB4" w14:textId="77777777" w:rsidR="00C91D57" w:rsidRDefault="00C91D57">
      <w:pPr>
        <w:autoSpaceDE/>
        <w:autoSpaceDN/>
        <w:adjustRightInd/>
        <w:spacing w:after="0"/>
        <w:jc w:val="left"/>
        <w:rPr>
          <w:rFonts w:cs="Arial"/>
        </w:rPr>
      </w:pPr>
    </w:p>
    <w:p w14:paraId="5A35E9F1" w14:textId="77777777" w:rsidR="00C91D57" w:rsidRDefault="00C91D57">
      <w:pPr>
        <w:autoSpaceDE/>
        <w:autoSpaceDN/>
        <w:adjustRightInd/>
        <w:spacing w:after="0"/>
        <w:jc w:val="left"/>
        <w:rPr>
          <w:rFonts w:cs="Arial"/>
        </w:rPr>
      </w:pPr>
    </w:p>
    <w:p w14:paraId="615C9EA3" w14:textId="77777777" w:rsidR="00C91D57" w:rsidRDefault="00C91D57">
      <w:pPr>
        <w:autoSpaceDE/>
        <w:autoSpaceDN/>
        <w:adjustRightInd/>
        <w:spacing w:after="0"/>
        <w:jc w:val="left"/>
        <w:rPr>
          <w:rFonts w:cs="Arial"/>
        </w:rPr>
      </w:pPr>
    </w:p>
    <w:p w14:paraId="393EB61F" w14:textId="77777777" w:rsidR="00C91D57" w:rsidRDefault="00C91D57">
      <w:pPr>
        <w:autoSpaceDE/>
        <w:autoSpaceDN/>
        <w:adjustRightInd/>
        <w:spacing w:after="0"/>
        <w:jc w:val="left"/>
        <w:rPr>
          <w:rFonts w:cs="Arial"/>
        </w:rPr>
      </w:pPr>
    </w:p>
    <w:p w14:paraId="35DD941C" w14:textId="77777777" w:rsidR="00C91D57" w:rsidRDefault="00C91D57">
      <w:pPr>
        <w:autoSpaceDE/>
        <w:autoSpaceDN/>
        <w:adjustRightInd/>
        <w:spacing w:after="0"/>
        <w:jc w:val="left"/>
        <w:rPr>
          <w:rFonts w:cs="Arial"/>
        </w:rPr>
      </w:pPr>
    </w:p>
    <w:p w14:paraId="1087CFA4" w14:textId="77777777" w:rsidR="00C91D57" w:rsidRDefault="00C91D57">
      <w:pPr>
        <w:autoSpaceDE/>
        <w:autoSpaceDN/>
        <w:adjustRightInd/>
        <w:spacing w:after="0"/>
        <w:jc w:val="left"/>
        <w:rPr>
          <w:rFonts w:cs="Arial"/>
        </w:rPr>
      </w:pPr>
    </w:p>
    <w:p w14:paraId="45357569" w14:textId="77777777" w:rsidR="00C91D57" w:rsidRDefault="00C91D57">
      <w:pPr>
        <w:autoSpaceDE/>
        <w:autoSpaceDN/>
        <w:adjustRightInd/>
        <w:spacing w:after="0"/>
        <w:jc w:val="left"/>
        <w:rPr>
          <w:rFonts w:cs="Arial"/>
        </w:rPr>
      </w:pPr>
    </w:p>
    <w:p w14:paraId="2EE604C7" w14:textId="77777777" w:rsidR="00C91D57" w:rsidRDefault="00C91D57">
      <w:pPr>
        <w:autoSpaceDE/>
        <w:autoSpaceDN/>
        <w:adjustRightInd/>
        <w:spacing w:after="0"/>
        <w:jc w:val="left"/>
        <w:rPr>
          <w:rFonts w:cs="Arial"/>
        </w:rPr>
      </w:pPr>
    </w:p>
    <w:p w14:paraId="495212A5" w14:textId="77777777" w:rsidR="00C91D57" w:rsidRDefault="00C91D57">
      <w:pPr>
        <w:autoSpaceDE/>
        <w:autoSpaceDN/>
        <w:adjustRightInd/>
        <w:spacing w:after="0"/>
        <w:jc w:val="left"/>
        <w:rPr>
          <w:rFonts w:cs="Arial"/>
        </w:rPr>
      </w:pPr>
    </w:p>
    <w:p w14:paraId="39381BC5" w14:textId="77777777" w:rsidR="00692A2A" w:rsidRDefault="00692A2A" w:rsidP="00C91D57">
      <w:pPr>
        <w:spacing w:after="0"/>
        <w:ind w:right="-24"/>
        <w:rPr>
          <w:rFonts w:cs="Arial"/>
        </w:rPr>
      </w:pPr>
    </w:p>
    <w:p w14:paraId="3F656552" w14:textId="77777777" w:rsidR="00D04FFA" w:rsidRDefault="00D04FFA" w:rsidP="00C91D57">
      <w:pPr>
        <w:spacing w:after="0"/>
        <w:ind w:right="-24"/>
        <w:rPr>
          <w:rFonts w:cs="Arial"/>
        </w:rPr>
      </w:pPr>
    </w:p>
    <w:p w14:paraId="59D8682C" w14:textId="77777777" w:rsidR="0032743B" w:rsidRDefault="0032743B" w:rsidP="00C91D57">
      <w:pPr>
        <w:spacing w:after="0"/>
        <w:ind w:right="-24"/>
        <w:rPr>
          <w:rFonts w:cs="Arial"/>
          <w:b/>
        </w:rPr>
      </w:pPr>
    </w:p>
    <w:p w14:paraId="21271037" w14:textId="0933E01D" w:rsidR="00C91D57" w:rsidRPr="00C91D57" w:rsidRDefault="00492941" w:rsidP="00C91D57">
      <w:pPr>
        <w:spacing w:after="0"/>
        <w:ind w:right="-24"/>
        <w:rPr>
          <w:rFonts w:cs="Arial"/>
          <w:b/>
        </w:rPr>
      </w:pPr>
      <w:r>
        <w:rPr>
          <w:rFonts w:cs="Arial"/>
          <w:b/>
        </w:rPr>
        <w:lastRenderedPageBreak/>
        <w:t>2</w:t>
      </w:r>
      <w:r w:rsidR="00C91D57">
        <w:rPr>
          <w:rFonts w:cs="Arial"/>
          <w:b/>
        </w:rPr>
        <w:t>.</w:t>
      </w:r>
      <w:r w:rsidR="00C91D57" w:rsidRPr="008308E2">
        <w:rPr>
          <w:rFonts w:cs="Arial"/>
          <w:b/>
        </w:rPr>
        <w:tab/>
        <w:t>Reserves</w:t>
      </w:r>
      <w:r w:rsidR="00696293">
        <w:rPr>
          <w:rFonts w:cs="Arial"/>
          <w:b/>
        </w:rPr>
        <w:t xml:space="preserve">  </w:t>
      </w:r>
    </w:p>
    <w:p w14:paraId="72A5DD07" w14:textId="77777777" w:rsidR="00C91D57" w:rsidRDefault="00C91D57">
      <w:pPr>
        <w:autoSpaceDE/>
        <w:autoSpaceDN/>
        <w:adjustRightInd/>
        <w:spacing w:after="0"/>
        <w:jc w:val="left"/>
        <w:rPr>
          <w:rFonts w:cs="Arial"/>
        </w:rPr>
      </w:pPr>
    </w:p>
    <w:p w14:paraId="7FB92B93" w14:textId="77777777" w:rsidR="008308E2" w:rsidRDefault="008308E2" w:rsidP="00B60B5D">
      <w:pPr>
        <w:spacing w:after="0"/>
        <w:ind w:right="-24"/>
        <w:rPr>
          <w:rFonts w:cs="Arial"/>
        </w:rPr>
      </w:pPr>
      <w:r w:rsidRPr="008308E2">
        <w:rPr>
          <w:rFonts w:cs="Arial"/>
        </w:rPr>
        <w:t>The table</w:t>
      </w:r>
      <w:r w:rsidR="00B17597">
        <w:rPr>
          <w:rFonts w:cs="Arial"/>
        </w:rPr>
        <w:t xml:space="preserve"> below</w:t>
      </w:r>
      <w:r w:rsidRPr="008308E2">
        <w:rPr>
          <w:rFonts w:cs="Arial"/>
        </w:rPr>
        <w:t xml:space="preserve"> illustrates the </w:t>
      </w:r>
      <w:r w:rsidR="00614E23">
        <w:rPr>
          <w:rFonts w:cs="Arial"/>
        </w:rPr>
        <w:t xml:space="preserve">summary </w:t>
      </w:r>
      <w:r w:rsidRPr="008308E2">
        <w:rPr>
          <w:rFonts w:cs="Arial"/>
        </w:rPr>
        <w:t>forecast position in respect of the Council's reserves:</w:t>
      </w:r>
    </w:p>
    <w:p w14:paraId="16C98E55" w14:textId="77777777" w:rsidR="00317328" w:rsidRDefault="00317328" w:rsidP="00B60B5D">
      <w:pPr>
        <w:spacing w:after="0"/>
        <w:ind w:right="-24"/>
        <w:rPr>
          <w:rFonts w:cs="Arial"/>
        </w:rPr>
      </w:pPr>
    </w:p>
    <w:tbl>
      <w:tblPr>
        <w:tblW w:w="10160" w:type="dxa"/>
        <w:tblLook w:val="04A0" w:firstRow="1" w:lastRow="0" w:firstColumn="1" w:lastColumn="0" w:noHBand="0" w:noVBand="1"/>
      </w:tblPr>
      <w:tblGrid>
        <w:gridCol w:w="2665"/>
        <w:gridCol w:w="1240"/>
        <w:gridCol w:w="883"/>
        <w:gridCol w:w="960"/>
        <w:gridCol w:w="883"/>
        <w:gridCol w:w="883"/>
        <w:gridCol w:w="883"/>
        <w:gridCol w:w="883"/>
        <w:gridCol w:w="880"/>
      </w:tblGrid>
      <w:tr w:rsidR="00D93B8E" w:rsidRPr="00D93B8E" w14:paraId="78989D5C" w14:textId="77777777" w:rsidTr="00D93B8E">
        <w:trPr>
          <w:trHeight w:val="1125"/>
        </w:trPr>
        <w:tc>
          <w:tcPr>
            <w:tcW w:w="2680"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00F785C1" w14:textId="77777777" w:rsidR="00D93B8E" w:rsidRPr="00D93B8E" w:rsidRDefault="00D93B8E" w:rsidP="00D93B8E">
            <w:pPr>
              <w:autoSpaceDE/>
              <w:autoSpaceDN/>
              <w:adjustRightInd/>
              <w:spacing w:after="0"/>
              <w:jc w:val="center"/>
              <w:rPr>
                <w:rFonts w:eastAsia="Times New Roman" w:cs="Arial"/>
                <w:b/>
                <w:bCs/>
                <w:sz w:val="18"/>
                <w:szCs w:val="18"/>
                <w:lang w:eastAsia="en-GB"/>
              </w:rPr>
            </w:pPr>
            <w:r w:rsidRPr="00D93B8E">
              <w:rPr>
                <w:rFonts w:eastAsia="Times New Roman" w:cs="Arial"/>
                <w:b/>
                <w:bCs/>
                <w:sz w:val="18"/>
                <w:szCs w:val="18"/>
                <w:lang w:eastAsia="en-GB"/>
              </w:rPr>
              <w:t>Reserve Name</w:t>
            </w:r>
          </w:p>
        </w:tc>
        <w:tc>
          <w:tcPr>
            <w:tcW w:w="1240" w:type="dxa"/>
            <w:tcBorders>
              <w:top w:val="single" w:sz="8" w:space="0" w:color="auto"/>
              <w:left w:val="nil"/>
              <w:bottom w:val="single" w:sz="4" w:space="0" w:color="auto"/>
              <w:right w:val="single" w:sz="4" w:space="0" w:color="auto"/>
            </w:tcBorders>
            <w:shd w:val="clear" w:color="000000" w:fill="BFBFBF"/>
            <w:vAlign w:val="center"/>
            <w:hideMark/>
          </w:tcPr>
          <w:p w14:paraId="32D2E593"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Opening Balance as at 1 April 2016</w:t>
            </w:r>
          </w:p>
        </w:tc>
        <w:tc>
          <w:tcPr>
            <w:tcW w:w="880" w:type="dxa"/>
            <w:tcBorders>
              <w:top w:val="single" w:sz="8" w:space="0" w:color="auto"/>
              <w:left w:val="nil"/>
              <w:bottom w:val="single" w:sz="4" w:space="0" w:color="auto"/>
              <w:right w:val="single" w:sz="4" w:space="0" w:color="auto"/>
            </w:tcBorders>
            <w:shd w:val="clear" w:color="000000" w:fill="BFBFBF"/>
            <w:vAlign w:val="center"/>
            <w:hideMark/>
          </w:tcPr>
          <w:p w14:paraId="5FBE158A"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2016-17 Forecast Spend</w:t>
            </w:r>
          </w:p>
        </w:tc>
        <w:tc>
          <w:tcPr>
            <w:tcW w:w="960" w:type="dxa"/>
            <w:tcBorders>
              <w:top w:val="single" w:sz="8" w:space="0" w:color="auto"/>
              <w:left w:val="nil"/>
              <w:bottom w:val="single" w:sz="4" w:space="0" w:color="auto"/>
              <w:right w:val="single" w:sz="4" w:space="0" w:color="auto"/>
            </w:tcBorders>
            <w:shd w:val="clear" w:color="000000" w:fill="BFBFBF"/>
            <w:vAlign w:val="center"/>
            <w:hideMark/>
          </w:tcPr>
          <w:p w14:paraId="1A4D2C02"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2016-17 Transfers to / from other reserves</w:t>
            </w:r>
          </w:p>
        </w:tc>
        <w:tc>
          <w:tcPr>
            <w:tcW w:w="880" w:type="dxa"/>
            <w:tcBorders>
              <w:top w:val="single" w:sz="8" w:space="0" w:color="auto"/>
              <w:left w:val="nil"/>
              <w:bottom w:val="single" w:sz="4" w:space="0" w:color="auto"/>
              <w:right w:val="single" w:sz="4" w:space="0" w:color="auto"/>
            </w:tcBorders>
            <w:shd w:val="clear" w:color="000000" w:fill="BFBFBF"/>
            <w:vAlign w:val="center"/>
            <w:hideMark/>
          </w:tcPr>
          <w:p w14:paraId="1D9E14DB"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2016-17 Forecast Closing Balance</w:t>
            </w:r>
          </w:p>
        </w:tc>
        <w:tc>
          <w:tcPr>
            <w:tcW w:w="880" w:type="dxa"/>
            <w:tcBorders>
              <w:top w:val="single" w:sz="8" w:space="0" w:color="auto"/>
              <w:left w:val="nil"/>
              <w:bottom w:val="single" w:sz="4" w:space="0" w:color="auto"/>
              <w:right w:val="single" w:sz="4" w:space="0" w:color="auto"/>
            </w:tcBorders>
            <w:shd w:val="clear" w:color="000000" w:fill="BFBFBF"/>
            <w:vAlign w:val="center"/>
            <w:hideMark/>
          </w:tcPr>
          <w:p w14:paraId="5492DE03"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2017-18 Forecast Spend</w:t>
            </w:r>
          </w:p>
        </w:tc>
        <w:tc>
          <w:tcPr>
            <w:tcW w:w="880" w:type="dxa"/>
            <w:tcBorders>
              <w:top w:val="single" w:sz="8" w:space="0" w:color="auto"/>
              <w:left w:val="nil"/>
              <w:bottom w:val="single" w:sz="4" w:space="0" w:color="auto"/>
              <w:right w:val="single" w:sz="4" w:space="0" w:color="auto"/>
            </w:tcBorders>
            <w:shd w:val="clear" w:color="000000" w:fill="BFBFBF"/>
            <w:vAlign w:val="center"/>
            <w:hideMark/>
          </w:tcPr>
          <w:p w14:paraId="215C0BBB"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2018-19 Forecast Spend</w:t>
            </w:r>
          </w:p>
        </w:tc>
        <w:tc>
          <w:tcPr>
            <w:tcW w:w="880" w:type="dxa"/>
            <w:tcBorders>
              <w:top w:val="single" w:sz="8" w:space="0" w:color="auto"/>
              <w:left w:val="nil"/>
              <w:bottom w:val="single" w:sz="4" w:space="0" w:color="auto"/>
              <w:right w:val="single" w:sz="4" w:space="0" w:color="auto"/>
            </w:tcBorders>
            <w:shd w:val="clear" w:color="000000" w:fill="BFBFBF"/>
            <w:vAlign w:val="center"/>
            <w:hideMark/>
          </w:tcPr>
          <w:p w14:paraId="633ADB53"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2019-20 Forecast Spend</w:t>
            </w:r>
          </w:p>
        </w:tc>
        <w:tc>
          <w:tcPr>
            <w:tcW w:w="880" w:type="dxa"/>
            <w:tcBorders>
              <w:top w:val="single" w:sz="8" w:space="0" w:color="auto"/>
              <w:left w:val="nil"/>
              <w:bottom w:val="single" w:sz="4" w:space="0" w:color="auto"/>
              <w:right w:val="single" w:sz="8" w:space="0" w:color="auto"/>
            </w:tcBorders>
            <w:shd w:val="clear" w:color="000000" w:fill="BFBFBF"/>
            <w:vAlign w:val="center"/>
            <w:hideMark/>
          </w:tcPr>
          <w:p w14:paraId="63FCE98C"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Total as at               31 March 2020</w:t>
            </w:r>
          </w:p>
        </w:tc>
      </w:tr>
      <w:tr w:rsidR="00D93B8E" w:rsidRPr="00D93B8E" w14:paraId="3A284B79" w14:textId="77777777" w:rsidTr="00D93B8E">
        <w:trPr>
          <w:trHeight w:val="255"/>
        </w:trPr>
        <w:tc>
          <w:tcPr>
            <w:tcW w:w="2680" w:type="dxa"/>
            <w:tcBorders>
              <w:top w:val="nil"/>
              <w:left w:val="single" w:sz="8" w:space="0" w:color="auto"/>
              <w:bottom w:val="single" w:sz="4" w:space="0" w:color="auto"/>
              <w:right w:val="single" w:sz="4" w:space="0" w:color="auto"/>
            </w:tcBorders>
            <w:shd w:val="clear" w:color="000000" w:fill="BFBFBF"/>
            <w:vAlign w:val="bottom"/>
            <w:hideMark/>
          </w:tcPr>
          <w:p w14:paraId="11D9DC25" w14:textId="77777777" w:rsidR="00D93B8E" w:rsidRPr="00D93B8E" w:rsidRDefault="00D93B8E" w:rsidP="00D93B8E">
            <w:pPr>
              <w:autoSpaceDE/>
              <w:autoSpaceDN/>
              <w:adjustRightInd/>
              <w:spacing w:after="0"/>
              <w:jc w:val="left"/>
              <w:rPr>
                <w:rFonts w:eastAsia="Times New Roman" w:cs="Arial"/>
                <w:sz w:val="16"/>
                <w:szCs w:val="16"/>
                <w:lang w:eastAsia="en-GB"/>
              </w:rPr>
            </w:pPr>
            <w:r w:rsidRPr="00D93B8E">
              <w:rPr>
                <w:rFonts w:eastAsia="Times New Roman" w:cs="Arial"/>
                <w:sz w:val="16"/>
                <w:szCs w:val="16"/>
                <w:lang w:eastAsia="en-GB"/>
              </w:rPr>
              <w:t> </w:t>
            </w:r>
          </w:p>
        </w:tc>
        <w:tc>
          <w:tcPr>
            <w:tcW w:w="1240" w:type="dxa"/>
            <w:tcBorders>
              <w:top w:val="nil"/>
              <w:left w:val="nil"/>
              <w:bottom w:val="single" w:sz="4" w:space="0" w:color="auto"/>
              <w:right w:val="single" w:sz="4" w:space="0" w:color="auto"/>
            </w:tcBorders>
            <w:shd w:val="clear" w:color="000000" w:fill="BFBFBF"/>
            <w:noWrap/>
            <w:vAlign w:val="bottom"/>
            <w:hideMark/>
          </w:tcPr>
          <w:p w14:paraId="6DDF2585"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£m</w:t>
            </w:r>
          </w:p>
        </w:tc>
        <w:tc>
          <w:tcPr>
            <w:tcW w:w="880" w:type="dxa"/>
            <w:tcBorders>
              <w:top w:val="nil"/>
              <w:left w:val="nil"/>
              <w:bottom w:val="single" w:sz="4" w:space="0" w:color="auto"/>
              <w:right w:val="single" w:sz="4" w:space="0" w:color="auto"/>
            </w:tcBorders>
            <w:shd w:val="clear" w:color="000000" w:fill="BFBFBF"/>
            <w:noWrap/>
            <w:vAlign w:val="center"/>
            <w:hideMark/>
          </w:tcPr>
          <w:p w14:paraId="24AF545B"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£m</w:t>
            </w:r>
          </w:p>
        </w:tc>
        <w:tc>
          <w:tcPr>
            <w:tcW w:w="960" w:type="dxa"/>
            <w:tcBorders>
              <w:top w:val="nil"/>
              <w:left w:val="nil"/>
              <w:bottom w:val="single" w:sz="4" w:space="0" w:color="auto"/>
              <w:right w:val="single" w:sz="4" w:space="0" w:color="auto"/>
            </w:tcBorders>
            <w:shd w:val="clear" w:color="000000" w:fill="BFBFBF"/>
            <w:noWrap/>
            <w:vAlign w:val="center"/>
            <w:hideMark/>
          </w:tcPr>
          <w:p w14:paraId="7543F668"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£m</w:t>
            </w:r>
          </w:p>
        </w:tc>
        <w:tc>
          <w:tcPr>
            <w:tcW w:w="880" w:type="dxa"/>
            <w:tcBorders>
              <w:top w:val="nil"/>
              <w:left w:val="nil"/>
              <w:bottom w:val="single" w:sz="4" w:space="0" w:color="auto"/>
              <w:right w:val="single" w:sz="4" w:space="0" w:color="auto"/>
            </w:tcBorders>
            <w:shd w:val="clear" w:color="000000" w:fill="BFBFBF"/>
            <w:noWrap/>
            <w:vAlign w:val="bottom"/>
            <w:hideMark/>
          </w:tcPr>
          <w:p w14:paraId="4B50DB55"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£m</w:t>
            </w:r>
          </w:p>
        </w:tc>
        <w:tc>
          <w:tcPr>
            <w:tcW w:w="880" w:type="dxa"/>
            <w:tcBorders>
              <w:top w:val="nil"/>
              <w:left w:val="nil"/>
              <w:bottom w:val="single" w:sz="4" w:space="0" w:color="auto"/>
              <w:right w:val="single" w:sz="4" w:space="0" w:color="auto"/>
            </w:tcBorders>
            <w:shd w:val="clear" w:color="000000" w:fill="BFBFBF"/>
            <w:noWrap/>
            <w:vAlign w:val="bottom"/>
            <w:hideMark/>
          </w:tcPr>
          <w:p w14:paraId="77FB26EA"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£m</w:t>
            </w:r>
          </w:p>
        </w:tc>
        <w:tc>
          <w:tcPr>
            <w:tcW w:w="880" w:type="dxa"/>
            <w:tcBorders>
              <w:top w:val="nil"/>
              <w:left w:val="nil"/>
              <w:bottom w:val="single" w:sz="4" w:space="0" w:color="auto"/>
              <w:right w:val="single" w:sz="4" w:space="0" w:color="auto"/>
            </w:tcBorders>
            <w:shd w:val="clear" w:color="000000" w:fill="BFBFBF"/>
            <w:noWrap/>
            <w:vAlign w:val="bottom"/>
            <w:hideMark/>
          </w:tcPr>
          <w:p w14:paraId="7910D371"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£m</w:t>
            </w:r>
          </w:p>
        </w:tc>
        <w:tc>
          <w:tcPr>
            <w:tcW w:w="880" w:type="dxa"/>
            <w:tcBorders>
              <w:top w:val="nil"/>
              <w:left w:val="nil"/>
              <w:bottom w:val="single" w:sz="4" w:space="0" w:color="auto"/>
              <w:right w:val="single" w:sz="4" w:space="0" w:color="auto"/>
            </w:tcBorders>
            <w:shd w:val="clear" w:color="000000" w:fill="BFBFBF"/>
            <w:noWrap/>
            <w:vAlign w:val="bottom"/>
            <w:hideMark/>
          </w:tcPr>
          <w:p w14:paraId="158CA0BF"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£m</w:t>
            </w:r>
          </w:p>
        </w:tc>
        <w:tc>
          <w:tcPr>
            <w:tcW w:w="880" w:type="dxa"/>
            <w:tcBorders>
              <w:top w:val="nil"/>
              <w:left w:val="nil"/>
              <w:bottom w:val="single" w:sz="4" w:space="0" w:color="auto"/>
              <w:right w:val="single" w:sz="8" w:space="0" w:color="auto"/>
            </w:tcBorders>
            <w:shd w:val="clear" w:color="000000" w:fill="BFBFBF"/>
            <w:noWrap/>
            <w:vAlign w:val="bottom"/>
            <w:hideMark/>
          </w:tcPr>
          <w:p w14:paraId="4EFF7B41"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£m</w:t>
            </w:r>
          </w:p>
        </w:tc>
      </w:tr>
      <w:tr w:rsidR="00D93B8E" w:rsidRPr="00D93B8E" w14:paraId="7DAF06B7" w14:textId="77777777" w:rsidTr="00D93B8E">
        <w:trPr>
          <w:trHeight w:val="638"/>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36E43926" w14:textId="77777777" w:rsidR="00D93B8E" w:rsidRPr="00D93B8E" w:rsidRDefault="00D93B8E" w:rsidP="00D93B8E">
            <w:pPr>
              <w:autoSpaceDE/>
              <w:autoSpaceDN/>
              <w:adjustRightInd/>
              <w:spacing w:after="0"/>
              <w:jc w:val="left"/>
              <w:rPr>
                <w:rFonts w:eastAsia="Times New Roman" w:cs="Arial"/>
                <w:sz w:val="16"/>
                <w:szCs w:val="16"/>
                <w:lang w:eastAsia="en-GB"/>
              </w:rPr>
            </w:pPr>
            <w:r w:rsidRPr="00D93B8E">
              <w:rPr>
                <w:rFonts w:eastAsia="Times New Roman" w:cs="Arial"/>
                <w:sz w:val="16"/>
                <w:szCs w:val="16"/>
                <w:lang w:eastAsia="en-GB"/>
              </w:rPr>
              <w:t>County Fund (3.1)</w:t>
            </w:r>
          </w:p>
        </w:tc>
        <w:tc>
          <w:tcPr>
            <w:tcW w:w="1240" w:type="dxa"/>
            <w:tcBorders>
              <w:top w:val="nil"/>
              <w:left w:val="nil"/>
              <w:bottom w:val="single" w:sz="4" w:space="0" w:color="auto"/>
              <w:right w:val="single" w:sz="4" w:space="0" w:color="auto"/>
            </w:tcBorders>
            <w:shd w:val="clear" w:color="auto" w:fill="auto"/>
            <w:noWrap/>
            <w:vAlign w:val="center"/>
            <w:hideMark/>
          </w:tcPr>
          <w:p w14:paraId="6C7138A0"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-36.000</w:t>
            </w:r>
          </w:p>
        </w:tc>
        <w:tc>
          <w:tcPr>
            <w:tcW w:w="880" w:type="dxa"/>
            <w:tcBorders>
              <w:top w:val="nil"/>
              <w:left w:val="nil"/>
              <w:bottom w:val="single" w:sz="4" w:space="0" w:color="auto"/>
              <w:right w:val="single" w:sz="4" w:space="0" w:color="auto"/>
            </w:tcBorders>
            <w:shd w:val="clear" w:color="auto" w:fill="auto"/>
            <w:noWrap/>
            <w:vAlign w:val="center"/>
            <w:hideMark/>
          </w:tcPr>
          <w:p w14:paraId="4E963973"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7426DD32"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000000" w:fill="BFBFBF"/>
            <w:noWrap/>
            <w:vAlign w:val="center"/>
            <w:hideMark/>
          </w:tcPr>
          <w:p w14:paraId="1200C100"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-36.000</w:t>
            </w:r>
          </w:p>
        </w:tc>
        <w:tc>
          <w:tcPr>
            <w:tcW w:w="880" w:type="dxa"/>
            <w:tcBorders>
              <w:top w:val="nil"/>
              <w:left w:val="nil"/>
              <w:bottom w:val="single" w:sz="4" w:space="0" w:color="auto"/>
              <w:right w:val="single" w:sz="4" w:space="0" w:color="auto"/>
            </w:tcBorders>
            <w:shd w:val="clear" w:color="auto" w:fill="auto"/>
            <w:noWrap/>
            <w:vAlign w:val="center"/>
            <w:hideMark/>
          </w:tcPr>
          <w:p w14:paraId="41F8DDF7"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14:paraId="036812B8"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14:paraId="4AA2C2FB"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c>
          <w:tcPr>
            <w:tcW w:w="880" w:type="dxa"/>
            <w:tcBorders>
              <w:top w:val="nil"/>
              <w:left w:val="nil"/>
              <w:bottom w:val="single" w:sz="4" w:space="0" w:color="auto"/>
              <w:right w:val="single" w:sz="8" w:space="0" w:color="auto"/>
            </w:tcBorders>
            <w:shd w:val="clear" w:color="000000" w:fill="BFBFBF"/>
            <w:noWrap/>
            <w:vAlign w:val="center"/>
            <w:hideMark/>
          </w:tcPr>
          <w:p w14:paraId="611F027B"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-36.000</w:t>
            </w:r>
          </w:p>
        </w:tc>
      </w:tr>
      <w:tr w:rsidR="00D93B8E" w:rsidRPr="00D93B8E" w14:paraId="1655C9BD" w14:textId="77777777" w:rsidTr="00D93B8E">
        <w:trPr>
          <w:trHeight w:val="638"/>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3EA1991C" w14:textId="77777777" w:rsidR="00D93B8E" w:rsidRPr="00D93B8E" w:rsidRDefault="00D93B8E" w:rsidP="00D93B8E">
            <w:pPr>
              <w:autoSpaceDE/>
              <w:autoSpaceDN/>
              <w:adjustRightInd/>
              <w:spacing w:after="0"/>
              <w:jc w:val="left"/>
              <w:rPr>
                <w:rFonts w:eastAsia="Times New Roman" w:cs="Arial"/>
                <w:sz w:val="16"/>
                <w:szCs w:val="16"/>
                <w:lang w:eastAsia="en-GB"/>
              </w:rPr>
            </w:pPr>
            <w:r w:rsidRPr="00D93B8E">
              <w:rPr>
                <w:rFonts w:eastAsia="Times New Roman" w:cs="Arial"/>
                <w:sz w:val="16"/>
                <w:szCs w:val="16"/>
                <w:lang w:eastAsia="en-GB"/>
              </w:rPr>
              <w:t>Strategic Investment Reserve (3.2)</w:t>
            </w:r>
          </w:p>
        </w:tc>
        <w:tc>
          <w:tcPr>
            <w:tcW w:w="1240" w:type="dxa"/>
            <w:tcBorders>
              <w:top w:val="nil"/>
              <w:left w:val="nil"/>
              <w:bottom w:val="single" w:sz="4" w:space="0" w:color="auto"/>
              <w:right w:val="single" w:sz="4" w:space="0" w:color="auto"/>
            </w:tcBorders>
            <w:shd w:val="clear" w:color="auto" w:fill="auto"/>
            <w:noWrap/>
            <w:vAlign w:val="center"/>
            <w:hideMark/>
          </w:tcPr>
          <w:p w14:paraId="587BA01C"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-10.971</w:t>
            </w:r>
          </w:p>
        </w:tc>
        <w:tc>
          <w:tcPr>
            <w:tcW w:w="880" w:type="dxa"/>
            <w:tcBorders>
              <w:top w:val="nil"/>
              <w:left w:val="nil"/>
              <w:bottom w:val="single" w:sz="4" w:space="0" w:color="auto"/>
              <w:right w:val="single" w:sz="4" w:space="0" w:color="auto"/>
            </w:tcBorders>
            <w:shd w:val="clear" w:color="auto" w:fill="auto"/>
            <w:noWrap/>
            <w:vAlign w:val="center"/>
            <w:hideMark/>
          </w:tcPr>
          <w:p w14:paraId="19BA4351"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2.351</w:t>
            </w:r>
          </w:p>
        </w:tc>
        <w:tc>
          <w:tcPr>
            <w:tcW w:w="960" w:type="dxa"/>
            <w:tcBorders>
              <w:top w:val="nil"/>
              <w:left w:val="nil"/>
              <w:bottom w:val="single" w:sz="4" w:space="0" w:color="auto"/>
              <w:right w:val="single" w:sz="4" w:space="0" w:color="auto"/>
            </w:tcBorders>
            <w:shd w:val="clear" w:color="auto" w:fill="auto"/>
            <w:noWrap/>
            <w:vAlign w:val="center"/>
            <w:hideMark/>
          </w:tcPr>
          <w:p w14:paraId="19B5388B"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5.194</w:t>
            </w:r>
          </w:p>
        </w:tc>
        <w:tc>
          <w:tcPr>
            <w:tcW w:w="880" w:type="dxa"/>
            <w:tcBorders>
              <w:top w:val="nil"/>
              <w:left w:val="nil"/>
              <w:bottom w:val="single" w:sz="4" w:space="0" w:color="auto"/>
              <w:right w:val="single" w:sz="4" w:space="0" w:color="auto"/>
            </w:tcBorders>
            <w:shd w:val="clear" w:color="000000" w:fill="BFBFBF"/>
            <w:noWrap/>
            <w:vAlign w:val="center"/>
            <w:hideMark/>
          </w:tcPr>
          <w:p w14:paraId="5846F639"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-3.426</w:t>
            </w:r>
          </w:p>
        </w:tc>
        <w:tc>
          <w:tcPr>
            <w:tcW w:w="880" w:type="dxa"/>
            <w:tcBorders>
              <w:top w:val="nil"/>
              <w:left w:val="nil"/>
              <w:bottom w:val="single" w:sz="4" w:space="0" w:color="auto"/>
              <w:right w:val="single" w:sz="4" w:space="0" w:color="auto"/>
            </w:tcBorders>
            <w:shd w:val="clear" w:color="auto" w:fill="auto"/>
            <w:noWrap/>
            <w:vAlign w:val="center"/>
            <w:hideMark/>
          </w:tcPr>
          <w:p w14:paraId="3560DEB8"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1.543</w:t>
            </w:r>
          </w:p>
        </w:tc>
        <w:tc>
          <w:tcPr>
            <w:tcW w:w="880" w:type="dxa"/>
            <w:tcBorders>
              <w:top w:val="nil"/>
              <w:left w:val="nil"/>
              <w:bottom w:val="single" w:sz="4" w:space="0" w:color="auto"/>
              <w:right w:val="single" w:sz="4" w:space="0" w:color="auto"/>
            </w:tcBorders>
            <w:shd w:val="clear" w:color="auto" w:fill="auto"/>
            <w:noWrap/>
            <w:vAlign w:val="center"/>
            <w:hideMark/>
          </w:tcPr>
          <w:p w14:paraId="604D15E7"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0.883</w:t>
            </w:r>
          </w:p>
        </w:tc>
        <w:tc>
          <w:tcPr>
            <w:tcW w:w="880" w:type="dxa"/>
            <w:tcBorders>
              <w:top w:val="nil"/>
              <w:left w:val="nil"/>
              <w:bottom w:val="single" w:sz="4" w:space="0" w:color="auto"/>
              <w:right w:val="single" w:sz="4" w:space="0" w:color="auto"/>
            </w:tcBorders>
            <w:shd w:val="clear" w:color="auto" w:fill="auto"/>
            <w:noWrap/>
            <w:vAlign w:val="center"/>
            <w:hideMark/>
          </w:tcPr>
          <w:p w14:paraId="084E2FB0"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0.060</w:t>
            </w:r>
          </w:p>
        </w:tc>
        <w:tc>
          <w:tcPr>
            <w:tcW w:w="880" w:type="dxa"/>
            <w:tcBorders>
              <w:top w:val="nil"/>
              <w:left w:val="nil"/>
              <w:bottom w:val="single" w:sz="4" w:space="0" w:color="auto"/>
              <w:right w:val="single" w:sz="8" w:space="0" w:color="auto"/>
            </w:tcBorders>
            <w:shd w:val="clear" w:color="000000" w:fill="BFBFBF"/>
            <w:noWrap/>
            <w:vAlign w:val="center"/>
            <w:hideMark/>
          </w:tcPr>
          <w:p w14:paraId="3A883493"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-0.940</w:t>
            </w:r>
          </w:p>
        </w:tc>
      </w:tr>
      <w:tr w:rsidR="00D93B8E" w:rsidRPr="00D93B8E" w14:paraId="4E77C2F5" w14:textId="77777777" w:rsidTr="00D93B8E">
        <w:trPr>
          <w:trHeight w:val="638"/>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7429256F" w14:textId="77777777" w:rsidR="00D93B8E" w:rsidRPr="00D93B8E" w:rsidRDefault="00D93B8E" w:rsidP="00D93B8E">
            <w:pPr>
              <w:autoSpaceDE/>
              <w:autoSpaceDN/>
              <w:adjustRightInd/>
              <w:spacing w:after="0"/>
              <w:jc w:val="left"/>
              <w:rPr>
                <w:rFonts w:eastAsia="Times New Roman" w:cs="Arial"/>
                <w:sz w:val="16"/>
                <w:szCs w:val="16"/>
                <w:lang w:eastAsia="en-GB"/>
              </w:rPr>
            </w:pPr>
            <w:r w:rsidRPr="00D93B8E">
              <w:rPr>
                <w:rFonts w:eastAsia="Times New Roman" w:cs="Arial"/>
                <w:sz w:val="16"/>
                <w:szCs w:val="16"/>
                <w:lang w:eastAsia="en-GB"/>
              </w:rPr>
              <w:t>Downsizing Reserve (3.3.1)</w:t>
            </w:r>
          </w:p>
        </w:tc>
        <w:tc>
          <w:tcPr>
            <w:tcW w:w="1240" w:type="dxa"/>
            <w:tcBorders>
              <w:top w:val="nil"/>
              <w:left w:val="nil"/>
              <w:bottom w:val="single" w:sz="4" w:space="0" w:color="auto"/>
              <w:right w:val="single" w:sz="4" w:space="0" w:color="auto"/>
            </w:tcBorders>
            <w:shd w:val="clear" w:color="auto" w:fill="auto"/>
            <w:noWrap/>
            <w:vAlign w:val="center"/>
            <w:hideMark/>
          </w:tcPr>
          <w:p w14:paraId="698E01FE"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-64.841</w:t>
            </w:r>
          </w:p>
        </w:tc>
        <w:tc>
          <w:tcPr>
            <w:tcW w:w="880" w:type="dxa"/>
            <w:tcBorders>
              <w:top w:val="nil"/>
              <w:left w:val="nil"/>
              <w:bottom w:val="single" w:sz="4" w:space="0" w:color="auto"/>
              <w:right w:val="single" w:sz="4" w:space="0" w:color="auto"/>
            </w:tcBorders>
            <w:shd w:val="clear" w:color="auto" w:fill="auto"/>
            <w:noWrap/>
            <w:vAlign w:val="center"/>
            <w:hideMark/>
          </w:tcPr>
          <w:p w14:paraId="07EF520E"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14.171</w:t>
            </w:r>
          </w:p>
        </w:tc>
        <w:tc>
          <w:tcPr>
            <w:tcW w:w="960" w:type="dxa"/>
            <w:tcBorders>
              <w:top w:val="nil"/>
              <w:left w:val="nil"/>
              <w:bottom w:val="single" w:sz="4" w:space="0" w:color="auto"/>
              <w:right w:val="single" w:sz="4" w:space="0" w:color="auto"/>
            </w:tcBorders>
            <w:shd w:val="clear" w:color="auto" w:fill="auto"/>
            <w:noWrap/>
            <w:vAlign w:val="center"/>
            <w:hideMark/>
          </w:tcPr>
          <w:p w14:paraId="032BA254"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28.062</w:t>
            </w:r>
          </w:p>
        </w:tc>
        <w:tc>
          <w:tcPr>
            <w:tcW w:w="880" w:type="dxa"/>
            <w:tcBorders>
              <w:top w:val="nil"/>
              <w:left w:val="nil"/>
              <w:bottom w:val="single" w:sz="4" w:space="0" w:color="auto"/>
              <w:right w:val="single" w:sz="4" w:space="0" w:color="auto"/>
            </w:tcBorders>
            <w:shd w:val="clear" w:color="000000" w:fill="BFBFBF"/>
            <w:noWrap/>
            <w:vAlign w:val="center"/>
            <w:hideMark/>
          </w:tcPr>
          <w:p w14:paraId="3BFF2FAE"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-22.608</w:t>
            </w:r>
          </w:p>
        </w:tc>
        <w:tc>
          <w:tcPr>
            <w:tcW w:w="880" w:type="dxa"/>
            <w:tcBorders>
              <w:top w:val="nil"/>
              <w:left w:val="nil"/>
              <w:bottom w:val="single" w:sz="4" w:space="0" w:color="auto"/>
              <w:right w:val="single" w:sz="4" w:space="0" w:color="auto"/>
            </w:tcBorders>
            <w:shd w:val="clear" w:color="auto" w:fill="auto"/>
            <w:noWrap/>
            <w:vAlign w:val="center"/>
            <w:hideMark/>
          </w:tcPr>
          <w:p w14:paraId="47D504C6"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13.548</w:t>
            </w:r>
          </w:p>
        </w:tc>
        <w:tc>
          <w:tcPr>
            <w:tcW w:w="880" w:type="dxa"/>
            <w:tcBorders>
              <w:top w:val="nil"/>
              <w:left w:val="nil"/>
              <w:bottom w:val="single" w:sz="4" w:space="0" w:color="auto"/>
              <w:right w:val="single" w:sz="4" w:space="0" w:color="auto"/>
            </w:tcBorders>
            <w:shd w:val="clear" w:color="auto" w:fill="auto"/>
            <w:noWrap/>
            <w:vAlign w:val="center"/>
            <w:hideMark/>
          </w:tcPr>
          <w:p w14:paraId="5224F340"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9.060</w:t>
            </w:r>
          </w:p>
        </w:tc>
        <w:tc>
          <w:tcPr>
            <w:tcW w:w="880" w:type="dxa"/>
            <w:tcBorders>
              <w:top w:val="nil"/>
              <w:left w:val="nil"/>
              <w:bottom w:val="single" w:sz="4" w:space="0" w:color="auto"/>
              <w:right w:val="single" w:sz="4" w:space="0" w:color="auto"/>
            </w:tcBorders>
            <w:shd w:val="clear" w:color="auto" w:fill="auto"/>
            <w:noWrap/>
            <w:vAlign w:val="center"/>
            <w:hideMark/>
          </w:tcPr>
          <w:p w14:paraId="6E94B77D"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c>
          <w:tcPr>
            <w:tcW w:w="880" w:type="dxa"/>
            <w:tcBorders>
              <w:top w:val="nil"/>
              <w:left w:val="nil"/>
              <w:bottom w:val="single" w:sz="4" w:space="0" w:color="auto"/>
              <w:right w:val="single" w:sz="8" w:space="0" w:color="auto"/>
            </w:tcBorders>
            <w:shd w:val="clear" w:color="000000" w:fill="BFBFBF"/>
            <w:noWrap/>
            <w:vAlign w:val="center"/>
            <w:hideMark/>
          </w:tcPr>
          <w:p w14:paraId="5A501D10"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r>
      <w:tr w:rsidR="00D93B8E" w:rsidRPr="00D93B8E" w14:paraId="09F3328A" w14:textId="77777777" w:rsidTr="00D93B8E">
        <w:trPr>
          <w:trHeight w:val="638"/>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637F0A2B" w14:textId="77777777" w:rsidR="00D93B8E" w:rsidRPr="00D93B8E" w:rsidRDefault="00D93B8E" w:rsidP="00D93B8E">
            <w:pPr>
              <w:autoSpaceDE/>
              <w:autoSpaceDN/>
              <w:adjustRightInd/>
              <w:spacing w:after="0"/>
              <w:jc w:val="left"/>
              <w:rPr>
                <w:rFonts w:eastAsia="Times New Roman" w:cs="Arial"/>
                <w:sz w:val="16"/>
                <w:szCs w:val="16"/>
                <w:lang w:eastAsia="en-GB"/>
              </w:rPr>
            </w:pPr>
            <w:r w:rsidRPr="00D93B8E">
              <w:rPr>
                <w:rFonts w:eastAsia="Times New Roman" w:cs="Arial"/>
                <w:sz w:val="16"/>
                <w:szCs w:val="16"/>
                <w:lang w:eastAsia="en-GB"/>
              </w:rPr>
              <w:t>Risk Management Reserve (3.3.2)</w:t>
            </w:r>
          </w:p>
        </w:tc>
        <w:tc>
          <w:tcPr>
            <w:tcW w:w="1240" w:type="dxa"/>
            <w:tcBorders>
              <w:top w:val="nil"/>
              <w:left w:val="nil"/>
              <w:bottom w:val="single" w:sz="4" w:space="0" w:color="auto"/>
              <w:right w:val="single" w:sz="4" w:space="0" w:color="auto"/>
            </w:tcBorders>
            <w:shd w:val="clear" w:color="auto" w:fill="auto"/>
            <w:noWrap/>
            <w:vAlign w:val="center"/>
            <w:hideMark/>
          </w:tcPr>
          <w:p w14:paraId="1BB5F34F"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-15.784</w:t>
            </w:r>
          </w:p>
        </w:tc>
        <w:tc>
          <w:tcPr>
            <w:tcW w:w="880" w:type="dxa"/>
            <w:tcBorders>
              <w:top w:val="nil"/>
              <w:left w:val="nil"/>
              <w:bottom w:val="single" w:sz="4" w:space="0" w:color="auto"/>
              <w:right w:val="single" w:sz="4" w:space="0" w:color="auto"/>
            </w:tcBorders>
            <w:shd w:val="clear" w:color="auto" w:fill="auto"/>
            <w:noWrap/>
            <w:vAlign w:val="center"/>
            <w:hideMark/>
          </w:tcPr>
          <w:p w14:paraId="2E43CF74"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3.155</w:t>
            </w:r>
          </w:p>
        </w:tc>
        <w:tc>
          <w:tcPr>
            <w:tcW w:w="960" w:type="dxa"/>
            <w:tcBorders>
              <w:top w:val="nil"/>
              <w:left w:val="nil"/>
              <w:bottom w:val="single" w:sz="4" w:space="0" w:color="auto"/>
              <w:right w:val="single" w:sz="4" w:space="0" w:color="auto"/>
            </w:tcBorders>
            <w:shd w:val="clear" w:color="auto" w:fill="auto"/>
            <w:noWrap/>
            <w:vAlign w:val="center"/>
            <w:hideMark/>
          </w:tcPr>
          <w:p w14:paraId="7A7A5FFE"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4.872</w:t>
            </w:r>
          </w:p>
        </w:tc>
        <w:tc>
          <w:tcPr>
            <w:tcW w:w="880" w:type="dxa"/>
            <w:tcBorders>
              <w:top w:val="nil"/>
              <w:left w:val="nil"/>
              <w:bottom w:val="single" w:sz="4" w:space="0" w:color="auto"/>
              <w:right w:val="single" w:sz="4" w:space="0" w:color="auto"/>
            </w:tcBorders>
            <w:shd w:val="clear" w:color="000000" w:fill="BFBFBF"/>
            <w:noWrap/>
            <w:vAlign w:val="center"/>
            <w:hideMark/>
          </w:tcPr>
          <w:p w14:paraId="43C17EB9"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-7.757</w:t>
            </w:r>
          </w:p>
        </w:tc>
        <w:tc>
          <w:tcPr>
            <w:tcW w:w="880" w:type="dxa"/>
            <w:tcBorders>
              <w:top w:val="nil"/>
              <w:left w:val="nil"/>
              <w:bottom w:val="single" w:sz="4" w:space="0" w:color="auto"/>
              <w:right w:val="single" w:sz="4" w:space="0" w:color="auto"/>
            </w:tcBorders>
            <w:shd w:val="clear" w:color="auto" w:fill="auto"/>
            <w:noWrap/>
            <w:vAlign w:val="center"/>
            <w:hideMark/>
          </w:tcPr>
          <w:p w14:paraId="712744F6"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7.757</w:t>
            </w:r>
          </w:p>
        </w:tc>
        <w:tc>
          <w:tcPr>
            <w:tcW w:w="880" w:type="dxa"/>
            <w:tcBorders>
              <w:top w:val="nil"/>
              <w:left w:val="nil"/>
              <w:bottom w:val="single" w:sz="4" w:space="0" w:color="auto"/>
              <w:right w:val="single" w:sz="4" w:space="0" w:color="auto"/>
            </w:tcBorders>
            <w:shd w:val="clear" w:color="auto" w:fill="auto"/>
            <w:noWrap/>
            <w:vAlign w:val="center"/>
            <w:hideMark/>
          </w:tcPr>
          <w:p w14:paraId="0A8D95B2"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14:paraId="74B478BF"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c>
          <w:tcPr>
            <w:tcW w:w="880" w:type="dxa"/>
            <w:tcBorders>
              <w:top w:val="nil"/>
              <w:left w:val="nil"/>
              <w:bottom w:val="single" w:sz="4" w:space="0" w:color="auto"/>
              <w:right w:val="single" w:sz="8" w:space="0" w:color="auto"/>
            </w:tcBorders>
            <w:shd w:val="clear" w:color="000000" w:fill="BFBFBF"/>
            <w:noWrap/>
            <w:vAlign w:val="center"/>
            <w:hideMark/>
          </w:tcPr>
          <w:p w14:paraId="4A89223C"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r>
      <w:tr w:rsidR="00D93B8E" w:rsidRPr="00D93B8E" w14:paraId="1DB08BC5" w14:textId="77777777" w:rsidTr="00D93B8E">
        <w:trPr>
          <w:trHeight w:val="638"/>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51E68A56" w14:textId="77777777" w:rsidR="00D93B8E" w:rsidRPr="00D93B8E" w:rsidRDefault="00D93B8E" w:rsidP="00D93B8E">
            <w:pPr>
              <w:autoSpaceDE/>
              <w:autoSpaceDN/>
              <w:adjustRightInd/>
              <w:spacing w:after="0"/>
              <w:jc w:val="left"/>
              <w:rPr>
                <w:rFonts w:eastAsia="Times New Roman" w:cs="Arial"/>
                <w:sz w:val="16"/>
                <w:szCs w:val="16"/>
                <w:lang w:eastAsia="en-GB"/>
              </w:rPr>
            </w:pPr>
            <w:r w:rsidRPr="00D93B8E">
              <w:rPr>
                <w:rFonts w:eastAsia="Times New Roman" w:cs="Arial"/>
                <w:sz w:val="16"/>
                <w:szCs w:val="16"/>
                <w:lang w:eastAsia="en-GB"/>
              </w:rPr>
              <w:t>Transitional Reserve (3.4.1)</w:t>
            </w:r>
          </w:p>
        </w:tc>
        <w:tc>
          <w:tcPr>
            <w:tcW w:w="1240" w:type="dxa"/>
            <w:tcBorders>
              <w:top w:val="nil"/>
              <w:left w:val="nil"/>
              <w:bottom w:val="single" w:sz="4" w:space="0" w:color="auto"/>
              <w:right w:val="single" w:sz="4" w:space="0" w:color="auto"/>
            </w:tcBorders>
            <w:shd w:val="clear" w:color="auto" w:fill="auto"/>
            <w:noWrap/>
            <w:vAlign w:val="center"/>
            <w:hideMark/>
          </w:tcPr>
          <w:p w14:paraId="1455D38C"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-141.837</w:t>
            </w:r>
          </w:p>
        </w:tc>
        <w:tc>
          <w:tcPr>
            <w:tcW w:w="880" w:type="dxa"/>
            <w:tcBorders>
              <w:top w:val="nil"/>
              <w:left w:val="nil"/>
              <w:bottom w:val="single" w:sz="4" w:space="0" w:color="auto"/>
              <w:right w:val="single" w:sz="4" w:space="0" w:color="auto"/>
            </w:tcBorders>
            <w:shd w:val="clear" w:color="auto" w:fill="auto"/>
            <w:noWrap/>
            <w:vAlign w:val="center"/>
            <w:hideMark/>
          </w:tcPr>
          <w:p w14:paraId="3BA14E38"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59.863</w:t>
            </w:r>
          </w:p>
        </w:tc>
        <w:tc>
          <w:tcPr>
            <w:tcW w:w="960" w:type="dxa"/>
            <w:tcBorders>
              <w:top w:val="nil"/>
              <w:left w:val="nil"/>
              <w:bottom w:val="single" w:sz="4" w:space="0" w:color="auto"/>
              <w:right w:val="single" w:sz="4" w:space="0" w:color="auto"/>
            </w:tcBorders>
            <w:shd w:val="clear" w:color="auto" w:fill="auto"/>
            <w:noWrap/>
            <w:vAlign w:val="center"/>
            <w:hideMark/>
          </w:tcPr>
          <w:p w14:paraId="36428233"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-54.712</w:t>
            </w:r>
          </w:p>
        </w:tc>
        <w:tc>
          <w:tcPr>
            <w:tcW w:w="880" w:type="dxa"/>
            <w:tcBorders>
              <w:top w:val="nil"/>
              <w:left w:val="nil"/>
              <w:bottom w:val="single" w:sz="4" w:space="0" w:color="auto"/>
              <w:right w:val="single" w:sz="4" w:space="0" w:color="auto"/>
            </w:tcBorders>
            <w:shd w:val="clear" w:color="000000" w:fill="BFBFBF"/>
            <w:noWrap/>
            <w:vAlign w:val="center"/>
            <w:hideMark/>
          </w:tcPr>
          <w:p w14:paraId="3089BFC9"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-136.685</w:t>
            </w:r>
          </w:p>
        </w:tc>
        <w:tc>
          <w:tcPr>
            <w:tcW w:w="880" w:type="dxa"/>
            <w:tcBorders>
              <w:top w:val="nil"/>
              <w:left w:val="nil"/>
              <w:bottom w:val="single" w:sz="4" w:space="0" w:color="auto"/>
              <w:right w:val="single" w:sz="4" w:space="0" w:color="auto"/>
            </w:tcBorders>
            <w:shd w:val="clear" w:color="auto" w:fill="auto"/>
            <w:noWrap/>
            <w:vAlign w:val="center"/>
            <w:hideMark/>
          </w:tcPr>
          <w:p w14:paraId="2F8F5305"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74.125</w:t>
            </w:r>
          </w:p>
        </w:tc>
        <w:tc>
          <w:tcPr>
            <w:tcW w:w="880" w:type="dxa"/>
            <w:tcBorders>
              <w:top w:val="nil"/>
              <w:left w:val="nil"/>
              <w:bottom w:val="single" w:sz="4" w:space="0" w:color="auto"/>
              <w:right w:val="single" w:sz="4" w:space="0" w:color="auto"/>
            </w:tcBorders>
            <w:shd w:val="clear" w:color="auto" w:fill="auto"/>
            <w:noWrap/>
            <w:vAlign w:val="center"/>
            <w:hideMark/>
          </w:tcPr>
          <w:p w14:paraId="2870A7DB"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0.530</w:t>
            </w:r>
          </w:p>
        </w:tc>
        <w:tc>
          <w:tcPr>
            <w:tcW w:w="880" w:type="dxa"/>
            <w:tcBorders>
              <w:top w:val="nil"/>
              <w:left w:val="nil"/>
              <w:bottom w:val="single" w:sz="4" w:space="0" w:color="auto"/>
              <w:right w:val="single" w:sz="4" w:space="0" w:color="auto"/>
            </w:tcBorders>
            <w:shd w:val="clear" w:color="auto" w:fill="auto"/>
            <w:noWrap/>
            <w:vAlign w:val="center"/>
            <w:hideMark/>
          </w:tcPr>
          <w:p w14:paraId="04E44984"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c>
          <w:tcPr>
            <w:tcW w:w="880" w:type="dxa"/>
            <w:tcBorders>
              <w:top w:val="nil"/>
              <w:left w:val="nil"/>
              <w:bottom w:val="single" w:sz="4" w:space="0" w:color="auto"/>
              <w:right w:val="single" w:sz="8" w:space="0" w:color="auto"/>
            </w:tcBorders>
            <w:shd w:val="clear" w:color="000000" w:fill="BFBFBF"/>
            <w:noWrap/>
            <w:vAlign w:val="center"/>
            <w:hideMark/>
          </w:tcPr>
          <w:p w14:paraId="44E4EEF8"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-62.031</w:t>
            </w:r>
          </w:p>
        </w:tc>
      </w:tr>
      <w:tr w:rsidR="00D93B8E" w:rsidRPr="00D93B8E" w14:paraId="3E67EA53" w14:textId="77777777" w:rsidTr="00D93B8E">
        <w:trPr>
          <w:trHeight w:val="638"/>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18EEB8B8" w14:textId="77777777" w:rsidR="00D93B8E" w:rsidRPr="00D93B8E" w:rsidRDefault="00D93B8E" w:rsidP="00D93B8E">
            <w:pPr>
              <w:autoSpaceDE/>
              <w:autoSpaceDN/>
              <w:adjustRightInd/>
              <w:spacing w:after="0"/>
              <w:jc w:val="left"/>
              <w:rPr>
                <w:rFonts w:eastAsia="Times New Roman" w:cs="Arial"/>
                <w:sz w:val="16"/>
                <w:szCs w:val="16"/>
                <w:lang w:eastAsia="en-GB"/>
              </w:rPr>
            </w:pPr>
            <w:r w:rsidRPr="00D93B8E">
              <w:rPr>
                <w:rFonts w:eastAsia="Times New Roman" w:cs="Arial"/>
                <w:sz w:val="16"/>
                <w:szCs w:val="16"/>
                <w:lang w:eastAsia="en-GB"/>
              </w:rPr>
              <w:t>To facilitate the transition of services  (3.4.2)</w:t>
            </w:r>
          </w:p>
        </w:tc>
        <w:tc>
          <w:tcPr>
            <w:tcW w:w="1240" w:type="dxa"/>
            <w:tcBorders>
              <w:top w:val="nil"/>
              <w:left w:val="nil"/>
              <w:bottom w:val="single" w:sz="4" w:space="0" w:color="auto"/>
              <w:right w:val="single" w:sz="4" w:space="0" w:color="auto"/>
            </w:tcBorders>
            <w:shd w:val="clear" w:color="auto" w:fill="auto"/>
            <w:noWrap/>
            <w:vAlign w:val="center"/>
            <w:hideMark/>
          </w:tcPr>
          <w:p w14:paraId="19312E82"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14:paraId="0ED1E588"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255F3DA4"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-3.000</w:t>
            </w:r>
          </w:p>
        </w:tc>
        <w:tc>
          <w:tcPr>
            <w:tcW w:w="880" w:type="dxa"/>
            <w:tcBorders>
              <w:top w:val="nil"/>
              <w:left w:val="nil"/>
              <w:bottom w:val="single" w:sz="4" w:space="0" w:color="auto"/>
              <w:right w:val="single" w:sz="4" w:space="0" w:color="auto"/>
            </w:tcBorders>
            <w:shd w:val="clear" w:color="000000" w:fill="BFBFBF"/>
            <w:noWrap/>
            <w:vAlign w:val="center"/>
            <w:hideMark/>
          </w:tcPr>
          <w:p w14:paraId="51CC8F00"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-3.000</w:t>
            </w:r>
          </w:p>
        </w:tc>
        <w:tc>
          <w:tcPr>
            <w:tcW w:w="880" w:type="dxa"/>
            <w:tcBorders>
              <w:top w:val="nil"/>
              <w:left w:val="nil"/>
              <w:bottom w:val="single" w:sz="4" w:space="0" w:color="auto"/>
              <w:right w:val="single" w:sz="4" w:space="0" w:color="auto"/>
            </w:tcBorders>
            <w:shd w:val="clear" w:color="auto" w:fill="auto"/>
            <w:noWrap/>
            <w:vAlign w:val="center"/>
            <w:hideMark/>
          </w:tcPr>
          <w:p w14:paraId="2F96C559"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14:paraId="461DB2B6"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14:paraId="7C5DBF9D"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c>
          <w:tcPr>
            <w:tcW w:w="880" w:type="dxa"/>
            <w:tcBorders>
              <w:top w:val="nil"/>
              <w:left w:val="nil"/>
              <w:bottom w:val="single" w:sz="4" w:space="0" w:color="auto"/>
              <w:right w:val="single" w:sz="8" w:space="0" w:color="auto"/>
            </w:tcBorders>
            <w:shd w:val="clear" w:color="000000" w:fill="BFBFBF"/>
            <w:noWrap/>
            <w:vAlign w:val="center"/>
            <w:hideMark/>
          </w:tcPr>
          <w:p w14:paraId="338CDF86"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-3.000</w:t>
            </w:r>
          </w:p>
        </w:tc>
      </w:tr>
      <w:tr w:rsidR="00D93B8E" w:rsidRPr="00D93B8E" w14:paraId="664018AB" w14:textId="77777777" w:rsidTr="00D93B8E">
        <w:trPr>
          <w:trHeight w:val="638"/>
        </w:trPr>
        <w:tc>
          <w:tcPr>
            <w:tcW w:w="2680" w:type="dxa"/>
            <w:tcBorders>
              <w:top w:val="nil"/>
              <w:left w:val="single" w:sz="8" w:space="0" w:color="auto"/>
              <w:bottom w:val="nil"/>
              <w:right w:val="single" w:sz="4" w:space="0" w:color="auto"/>
            </w:tcBorders>
            <w:shd w:val="clear" w:color="auto" w:fill="auto"/>
            <w:vAlign w:val="center"/>
            <w:hideMark/>
          </w:tcPr>
          <w:p w14:paraId="33955968" w14:textId="77777777" w:rsidR="00D93B8E" w:rsidRPr="00D93B8E" w:rsidRDefault="00D93B8E" w:rsidP="00D93B8E">
            <w:pPr>
              <w:autoSpaceDE/>
              <w:autoSpaceDN/>
              <w:adjustRightInd/>
              <w:spacing w:after="0"/>
              <w:jc w:val="left"/>
              <w:rPr>
                <w:rFonts w:eastAsia="Times New Roman" w:cs="Arial"/>
                <w:sz w:val="16"/>
                <w:szCs w:val="16"/>
                <w:lang w:eastAsia="en-GB"/>
              </w:rPr>
            </w:pPr>
            <w:r w:rsidRPr="00D93B8E">
              <w:rPr>
                <w:rFonts w:eastAsia="Times New Roman" w:cs="Arial"/>
                <w:sz w:val="16"/>
                <w:szCs w:val="16"/>
                <w:lang w:eastAsia="en-GB"/>
              </w:rPr>
              <w:t>Service Reserves  (3.5)</w:t>
            </w:r>
          </w:p>
        </w:tc>
        <w:tc>
          <w:tcPr>
            <w:tcW w:w="1240" w:type="dxa"/>
            <w:tcBorders>
              <w:top w:val="nil"/>
              <w:left w:val="nil"/>
              <w:bottom w:val="nil"/>
              <w:right w:val="single" w:sz="4" w:space="0" w:color="auto"/>
            </w:tcBorders>
            <w:shd w:val="clear" w:color="auto" w:fill="auto"/>
            <w:noWrap/>
            <w:vAlign w:val="center"/>
            <w:hideMark/>
          </w:tcPr>
          <w:p w14:paraId="0393A9CD"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-45.214</w:t>
            </w:r>
          </w:p>
        </w:tc>
        <w:tc>
          <w:tcPr>
            <w:tcW w:w="880" w:type="dxa"/>
            <w:tcBorders>
              <w:top w:val="nil"/>
              <w:left w:val="nil"/>
              <w:bottom w:val="nil"/>
              <w:right w:val="single" w:sz="4" w:space="0" w:color="auto"/>
            </w:tcBorders>
            <w:shd w:val="clear" w:color="auto" w:fill="auto"/>
            <w:noWrap/>
            <w:vAlign w:val="center"/>
            <w:hideMark/>
          </w:tcPr>
          <w:p w14:paraId="52E5C7BB"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8.893</w:t>
            </w:r>
          </w:p>
        </w:tc>
        <w:tc>
          <w:tcPr>
            <w:tcW w:w="960" w:type="dxa"/>
            <w:tcBorders>
              <w:top w:val="nil"/>
              <w:left w:val="nil"/>
              <w:bottom w:val="nil"/>
              <w:right w:val="single" w:sz="4" w:space="0" w:color="auto"/>
            </w:tcBorders>
            <w:shd w:val="clear" w:color="auto" w:fill="auto"/>
            <w:noWrap/>
            <w:vAlign w:val="center"/>
            <w:hideMark/>
          </w:tcPr>
          <w:p w14:paraId="542C3BDB"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10.800</w:t>
            </w:r>
          </w:p>
        </w:tc>
        <w:tc>
          <w:tcPr>
            <w:tcW w:w="880" w:type="dxa"/>
            <w:tcBorders>
              <w:top w:val="nil"/>
              <w:left w:val="nil"/>
              <w:bottom w:val="nil"/>
              <w:right w:val="single" w:sz="4" w:space="0" w:color="auto"/>
            </w:tcBorders>
            <w:shd w:val="clear" w:color="000000" w:fill="BFBFBF"/>
            <w:noWrap/>
            <w:vAlign w:val="center"/>
            <w:hideMark/>
          </w:tcPr>
          <w:p w14:paraId="4001221E"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-25.521</w:t>
            </w:r>
          </w:p>
        </w:tc>
        <w:tc>
          <w:tcPr>
            <w:tcW w:w="880" w:type="dxa"/>
            <w:tcBorders>
              <w:top w:val="nil"/>
              <w:left w:val="nil"/>
              <w:bottom w:val="nil"/>
              <w:right w:val="single" w:sz="4" w:space="0" w:color="auto"/>
            </w:tcBorders>
            <w:shd w:val="clear" w:color="auto" w:fill="auto"/>
            <w:noWrap/>
            <w:vAlign w:val="center"/>
            <w:hideMark/>
          </w:tcPr>
          <w:p w14:paraId="06869F69"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10.325</w:t>
            </w:r>
          </w:p>
        </w:tc>
        <w:tc>
          <w:tcPr>
            <w:tcW w:w="880" w:type="dxa"/>
            <w:tcBorders>
              <w:top w:val="nil"/>
              <w:left w:val="nil"/>
              <w:bottom w:val="nil"/>
              <w:right w:val="single" w:sz="4" w:space="0" w:color="auto"/>
            </w:tcBorders>
            <w:shd w:val="clear" w:color="auto" w:fill="auto"/>
            <w:noWrap/>
            <w:vAlign w:val="center"/>
            <w:hideMark/>
          </w:tcPr>
          <w:p w14:paraId="759E2FB2"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-0.340</w:t>
            </w:r>
          </w:p>
        </w:tc>
        <w:tc>
          <w:tcPr>
            <w:tcW w:w="880" w:type="dxa"/>
            <w:tcBorders>
              <w:top w:val="nil"/>
              <w:left w:val="nil"/>
              <w:bottom w:val="nil"/>
              <w:right w:val="single" w:sz="4" w:space="0" w:color="auto"/>
            </w:tcBorders>
            <w:shd w:val="clear" w:color="auto" w:fill="auto"/>
            <w:noWrap/>
            <w:vAlign w:val="center"/>
            <w:hideMark/>
          </w:tcPr>
          <w:p w14:paraId="5098B47A"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-0.683</w:t>
            </w:r>
          </w:p>
        </w:tc>
        <w:tc>
          <w:tcPr>
            <w:tcW w:w="880" w:type="dxa"/>
            <w:tcBorders>
              <w:top w:val="nil"/>
              <w:left w:val="nil"/>
              <w:bottom w:val="nil"/>
              <w:right w:val="single" w:sz="8" w:space="0" w:color="auto"/>
            </w:tcBorders>
            <w:shd w:val="clear" w:color="000000" w:fill="BFBFBF"/>
            <w:noWrap/>
            <w:vAlign w:val="center"/>
            <w:hideMark/>
          </w:tcPr>
          <w:p w14:paraId="0D508D0E"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-16.219</w:t>
            </w:r>
          </w:p>
        </w:tc>
      </w:tr>
      <w:tr w:rsidR="00D93B8E" w:rsidRPr="00D93B8E" w14:paraId="5B5B51A9" w14:textId="77777777" w:rsidTr="00D93B8E">
        <w:trPr>
          <w:trHeight w:val="420"/>
        </w:trPr>
        <w:tc>
          <w:tcPr>
            <w:tcW w:w="2680"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43FF3602" w14:textId="77777777" w:rsidR="00D93B8E" w:rsidRPr="00D93B8E" w:rsidRDefault="00D93B8E" w:rsidP="00D93B8E">
            <w:pPr>
              <w:autoSpaceDE/>
              <w:autoSpaceDN/>
              <w:adjustRightInd/>
              <w:spacing w:after="0"/>
              <w:jc w:val="left"/>
              <w:rPr>
                <w:rFonts w:eastAsia="Times New Roman" w:cs="Arial"/>
                <w:b/>
                <w:bCs/>
                <w:sz w:val="16"/>
                <w:szCs w:val="16"/>
                <w:lang w:eastAsia="en-GB"/>
              </w:rPr>
            </w:pPr>
            <w:r w:rsidRPr="00D93B8E">
              <w:rPr>
                <w:rFonts w:eastAsia="Times New Roman" w:cs="Arial"/>
                <w:b/>
                <w:bCs/>
                <w:sz w:val="16"/>
                <w:szCs w:val="16"/>
                <w:lang w:eastAsia="en-GB"/>
              </w:rPr>
              <w:t>TOTAL</w:t>
            </w:r>
          </w:p>
        </w:tc>
        <w:tc>
          <w:tcPr>
            <w:tcW w:w="1240" w:type="dxa"/>
            <w:tcBorders>
              <w:top w:val="single" w:sz="8" w:space="0" w:color="auto"/>
              <w:left w:val="nil"/>
              <w:bottom w:val="single" w:sz="8" w:space="0" w:color="auto"/>
              <w:right w:val="single" w:sz="4" w:space="0" w:color="auto"/>
            </w:tcBorders>
            <w:shd w:val="clear" w:color="000000" w:fill="BFBFBF"/>
            <w:noWrap/>
            <w:vAlign w:val="center"/>
            <w:hideMark/>
          </w:tcPr>
          <w:p w14:paraId="30C7B50F"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-314.647</w:t>
            </w:r>
          </w:p>
        </w:tc>
        <w:tc>
          <w:tcPr>
            <w:tcW w:w="880" w:type="dxa"/>
            <w:tcBorders>
              <w:top w:val="single" w:sz="8" w:space="0" w:color="auto"/>
              <w:left w:val="nil"/>
              <w:bottom w:val="single" w:sz="8" w:space="0" w:color="auto"/>
              <w:right w:val="single" w:sz="4" w:space="0" w:color="auto"/>
            </w:tcBorders>
            <w:shd w:val="clear" w:color="000000" w:fill="BFBFBF"/>
            <w:noWrap/>
            <w:vAlign w:val="center"/>
            <w:hideMark/>
          </w:tcPr>
          <w:p w14:paraId="7879BB1D"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88.434</w:t>
            </w:r>
          </w:p>
        </w:tc>
        <w:tc>
          <w:tcPr>
            <w:tcW w:w="960" w:type="dxa"/>
            <w:tcBorders>
              <w:top w:val="single" w:sz="8" w:space="0" w:color="auto"/>
              <w:left w:val="nil"/>
              <w:bottom w:val="single" w:sz="8" w:space="0" w:color="auto"/>
              <w:right w:val="single" w:sz="4" w:space="0" w:color="auto"/>
            </w:tcBorders>
            <w:shd w:val="clear" w:color="000000" w:fill="BFBFBF"/>
            <w:noWrap/>
            <w:vAlign w:val="center"/>
            <w:hideMark/>
          </w:tcPr>
          <w:p w14:paraId="710C505A"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-8.784</w:t>
            </w:r>
          </w:p>
        </w:tc>
        <w:tc>
          <w:tcPr>
            <w:tcW w:w="880" w:type="dxa"/>
            <w:tcBorders>
              <w:top w:val="single" w:sz="8" w:space="0" w:color="auto"/>
              <w:left w:val="nil"/>
              <w:bottom w:val="single" w:sz="8" w:space="0" w:color="auto"/>
              <w:right w:val="single" w:sz="4" w:space="0" w:color="auto"/>
            </w:tcBorders>
            <w:shd w:val="clear" w:color="000000" w:fill="BFBFBF"/>
            <w:noWrap/>
            <w:vAlign w:val="center"/>
            <w:hideMark/>
          </w:tcPr>
          <w:p w14:paraId="0073809D"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-234.997</w:t>
            </w:r>
          </w:p>
        </w:tc>
        <w:tc>
          <w:tcPr>
            <w:tcW w:w="880" w:type="dxa"/>
            <w:tcBorders>
              <w:top w:val="single" w:sz="8" w:space="0" w:color="auto"/>
              <w:left w:val="nil"/>
              <w:bottom w:val="single" w:sz="8" w:space="0" w:color="auto"/>
              <w:right w:val="single" w:sz="4" w:space="0" w:color="auto"/>
            </w:tcBorders>
            <w:shd w:val="clear" w:color="000000" w:fill="BFBFBF"/>
            <w:noWrap/>
            <w:vAlign w:val="center"/>
            <w:hideMark/>
          </w:tcPr>
          <w:p w14:paraId="6A19BA82"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107.298</w:t>
            </w:r>
          </w:p>
        </w:tc>
        <w:tc>
          <w:tcPr>
            <w:tcW w:w="880" w:type="dxa"/>
            <w:tcBorders>
              <w:top w:val="single" w:sz="8" w:space="0" w:color="auto"/>
              <w:left w:val="nil"/>
              <w:bottom w:val="single" w:sz="8" w:space="0" w:color="auto"/>
              <w:right w:val="single" w:sz="4" w:space="0" w:color="auto"/>
            </w:tcBorders>
            <w:shd w:val="clear" w:color="000000" w:fill="BFBFBF"/>
            <w:noWrap/>
            <w:vAlign w:val="center"/>
            <w:hideMark/>
          </w:tcPr>
          <w:p w14:paraId="78150542"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10.133</w:t>
            </w:r>
          </w:p>
        </w:tc>
        <w:tc>
          <w:tcPr>
            <w:tcW w:w="880" w:type="dxa"/>
            <w:tcBorders>
              <w:top w:val="single" w:sz="8" w:space="0" w:color="auto"/>
              <w:left w:val="nil"/>
              <w:bottom w:val="single" w:sz="8" w:space="0" w:color="auto"/>
              <w:right w:val="single" w:sz="4" w:space="0" w:color="auto"/>
            </w:tcBorders>
            <w:shd w:val="clear" w:color="000000" w:fill="BFBFBF"/>
            <w:noWrap/>
            <w:vAlign w:val="center"/>
            <w:hideMark/>
          </w:tcPr>
          <w:p w14:paraId="5977C031"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-0.623</w:t>
            </w:r>
          </w:p>
        </w:tc>
        <w:tc>
          <w:tcPr>
            <w:tcW w:w="880" w:type="dxa"/>
            <w:tcBorders>
              <w:top w:val="single" w:sz="8" w:space="0" w:color="auto"/>
              <w:left w:val="nil"/>
              <w:bottom w:val="single" w:sz="8" w:space="0" w:color="auto"/>
              <w:right w:val="single" w:sz="8" w:space="0" w:color="auto"/>
            </w:tcBorders>
            <w:shd w:val="clear" w:color="000000" w:fill="BFBFBF"/>
            <w:noWrap/>
            <w:vAlign w:val="center"/>
            <w:hideMark/>
          </w:tcPr>
          <w:p w14:paraId="62150485"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-118.189</w:t>
            </w:r>
          </w:p>
        </w:tc>
      </w:tr>
      <w:tr w:rsidR="00D93B8E" w:rsidRPr="00D93B8E" w14:paraId="3179B815" w14:textId="77777777" w:rsidTr="00D93B8E">
        <w:trPr>
          <w:trHeight w:val="420"/>
        </w:trPr>
        <w:tc>
          <w:tcPr>
            <w:tcW w:w="2680" w:type="dxa"/>
            <w:tcBorders>
              <w:top w:val="single" w:sz="4" w:space="0" w:color="auto"/>
              <w:left w:val="single" w:sz="8" w:space="0" w:color="auto"/>
              <w:bottom w:val="nil"/>
              <w:right w:val="single" w:sz="4" w:space="0" w:color="auto"/>
            </w:tcBorders>
            <w:shd w:val="clear" w:color="auto" w:fill="auto"/>
            <w:vAlign w:val="center"/>
            <w:hideMark/>
          </w:tcPr>
          <w:p w14:paraId="59589716" w14:textId="77777777" w:rsidR="00D93B8E" w:rsidRPr="00D93B8E" w:rsidRDefault="00D93B8E" w:rsidP="00D93B8E">
            <w:pPr>
              <w:autoSpaceDE/>
              <w:autoSpaceDN/>
              <w:adjustRightInd/>
              <w:spacing w:after="0"/>
              <w:jc w:val="left"/>
              <w:rPr>
                <w:rFonts w:eastAsia="Times New Roman" w:cs="Arial"/>
                <w:sz w:val="16"/>
                <w:szCs w:val="16"/>
                <w:lang w:eastAsia="en-GB"/>
              </w:rPr>
            </w:pPr>
            <w:r w:rsidRPr="00D93B8E">
              <w:rPr>
                <w:rFonts w:eastAsia="Times New Roman" w:cs="Arial"/>
                <w:sz w:val="16"/>
                <w:szCs w:val="16"/>
                <w:lang w:eastAsia="en-GB"/>
              </w:rPr>
              <w:t>Forecast underspend 2016/17</w:t>
            </w:r>
          </w:p>
        </w:tc>
        <w:tc>
          <w:tcPr>
            <w:tcW w:w="1240" w:type="dxa"/>
            <w:tcBorders>
              <w:top w:val="single" w:sz="4" w:space="0" w:color="auto"/>
              <w:left w:val="nil"/>
              <w:bottom w:val="nil"/>
              <w:right w:val="single" w:sz="4" w:space="0" w:color="auto"/>
            </w:tcBorders>
            <w:shd w:val="clear" w:color="auto" w:fill="auto"/>
            <w:noWrap/>
            <w:vAlign w:val="center"/>
            <w:hideMark/>
          </w:tcPr>
          <w:p w14:paraId="36A906E7"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c>
          <w:tcPr>
            <w:tcW w:w="880" w:type="dxa"/>
            <w:tcBorders>
              <w:top w:val="single" w:sz="4" w:space="0" w:color="auto"/>
              <w:left w:val="nil"/>
              <w:bottom w:val="nil"/>
              <w:right w:val="single" w:sz="4" w:space="0" w:color="auto"/>
            </w:tcBorders>
            <w:shd w:val="clear" w:color="auto" w:fill="auto"/>
            <w:noWrap/>
            <w:vAlign w:val="center"/>
            <w:hideMark/>
          </w:tcPr>
          <w:p w14:paraId="0D7A9294"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c>
          <w:tcPr>
            <w:tcW w:w="960" w:type="dxa"/>
            <w:tcBorders>
              <w:top w:val="single" w:sz="4" w:space="0" w:color="auto"/>
              <w:left w:val="nil"/>
              <w:bottom w:val="nil"/>
              <w:right w:val="single" w:sz="4" w:space="0" w:color="auto"/>
            </w:tcBorders>
            <w:shd w:val="clear" w:color="auto" w:fill="auto"/>
            <w:noWrap/>
            <w:vAlign w:val="center"/>
            <w:hideMark/>
          </w:tcPr>
          <w:p w14:paraId="3255F642"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-15.298</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14:paraId="26D50830"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-15.298</w:t>
            </w:r>
          </w:p>
        </w:tc>
        <w:tc>
          <w:tcPr>
            <w:tcW w:w="880" w:type="dxa"/>
            <w:tcBorders>
              <w:top w:val="single" w:sz="4" w:space="0" w:color="auto"/>
              <w:left w:val="nil"/>
              <w:bottom w:val="nil"/>
              <w:right w:val="single" w:sz="4" w:space="0" w:color="auto"/>
            </w:tcBorders>
            <w:shd w:val="clear" w:color="auto" w:fill="auto"/>
            <w:noWrap/>
            <w:vAlign w:val="center"/>
            <w:hideMark/>
          </w:tcPr>
          <w:p w14:paraId="55A7D47B"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0.000</w:t>
            </w:r>
          </w:p>
        </w:tc>
        <w:tc>
          <w:tcPr>
            <w:tcW w:w="880" w:type="dxa"/>
            <w:tcBorders>
              <w:top w:val="single" w:sz="4" w:space="0" w:color="auto"/>
              <w:left w:val="nil"/>
              <w:bottom w:val="nil"/>
              <w:right w:val="single" w:sz="4" w:space="0" w:color="auto"/>
            </w:tcBorders>
            <w:shd w:val="clear" w:color="auto" w:fill="auto"/>
            <w:noWrap/>
            <w:vAlign w:val="center"/>
            <w:hideMark/>
          </w:tcPr>
          <w:p w14:paraId="228F519F"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0.000</w:t>
            </w:r>
          </w:p>
        </w:tc>
        <w:tc>
          <w:tcPr>
            <w:tcW w:w="880" w:type="dxa"/>
            <w:tcBorders>
              <w:top w:val="single" w:sz="4" w:space="0" w:color="auto"/>
              <w:left w:val="nil"/>
              <w:bottom w:val="nil"/>
              <w:right w:val="single" w:sz="4" w:space="0" w:color="auto"/>
            </w:tcBorders>
            <w:shd w:val="clear" w:color="auto" w:fill="auto"/>
            <w:noWrap/>
            <w:vAlign w:val="center"/>
            <w:hideMark/>
          </w:tcPr>
          <w:p w14:paraId="6F3AF98E"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0.000</w:t>
            </w:r>
          </w:p>
        </w:tc>
        <w:tc>
          <w:tcPr>
            <w:tcW w:w="880" w:type="dxa"/>
            <w:tcBorders>
              <w:top w:val="single" w:sz="4" w:space="0" w:color="auto"/>
              <w:left w:val="nil"/>
              <w:bottom w:val="single" w:sz="4" w:space="0" w:color="auto"/>
              <w:right w:val="single" w:sz="8" w:space="0" w:color="auto"/>
            </w:tcBorders>
            <w:shd w:val="clear" w:color="000000" w:fill="BFBFBF"/>
            <w:noWrap/>
            <w:vAlign w:val="center"/>
            <w:hideMark/>
          </w:tcPr>
          <w:p w14:paraId="4484B0A6"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-15.298</w:t>
            </w:r>
          </w:p>
        </w:tc>
      </w:tr>
      <w:tr w:rsidR="00D93B8E" w:rsidRPr="00D93B8E" w14:paraId="1854BE07" w14:textId="77777777" w:rsidTr="00D93B8E">
        <w:trPr>
          <w:trHeight w:val="300"/>
        </w:trPr>
        <w:tc>
          <w:tcPr>
            <w:tcW w:w="2680" w:type="dxa"/>
            <w:tcBorders>
              <w:top w:val="single" w:sz="4" w:space="0" w:color="auto"/>
              <w:left w:val="single" w:sz="8" w:space="0" w:color="auto"/>
              <w:bottom w:val="nil"/>
              <w:right w:val="single" w:sz="4" w:space="0" w:color="auto"/>
            </w:tcBorders>
            <w:shd w:val="clear" w:color="auto" w:fill="auto"/>
            <w:vAlign w:val="center"/>
            <w:hideMark/>
          </w:tcPr>
          <w:p w14:paraId="2597C710" w14:textId="2D3C6777" w:rsidR="00D93B8E" w:rsidRPr="00D93B8E" w:rsidRDefault="00D93B8E" w:rsidP="00D93B8E">
            <w:pPr>
              <w:autoSpaceDE/>
              <w:autoSpaceDN/>
              <w:adjustRightInd/>
              <w:spacing w:after="0"/>
              <w:jc w:val="left"/>
              <w:rPr>
                <w:rFonts w:eastAsia="Times New Roman" w:cs="Arial"/>
                <w:i/>
                <w:iCs/>
                <w:sz w:val="16"/>
                <w:szCs w:val="16"/>
                <w:lang w:eastAsia="en-GB"/>
              </w:rPr>
            </w:pPr>
            <w:r w:rsidRPr="00D93B8E">
              <w:rPr>
                <w:rFonts w:eastAsia="Times New Roman" w:cs="Arial"/>
                <w:i/>
                <w:iCs/>
                <w:sz w:val="16"/>
                <w:szCs w:val="16"/>
                <w:lang w:eastAsia="en-GB"/>
              </w:rPr>
              <w:t>MTFS Funding Gap</w:t>
            </w:r>
            <w:r w:rsidR="00355458">
              <w:rPr>
                <w:rFonts w:eastAsia="Times New Roman" w:cs="Arial"/>
                <w:i/>
                <w:iCs/>
                <w:sz w:val="16"/>
                <w:szCs w:val="16"/>
                <w:lang w:eastAsia="en-GB"/>
              </w:rPr>
              <w:t xml:space="preserve"> (for information)</w:t>
            </w:r>
          </w:p>
        </w:tc>
        <w:tc>
          <w:tcPr>
            <w:tcW w:w="1240" w:type="dxa"/>
            <w:tcBorders>
              <w:top w:val="single" w:sz="4" w:space="0" w:color="auto"/>
              <w:left w:val="nil"/>
              <w:bottom w:val="nil"/>
              <w:right w:val="single" w:sz="4" w:space="0" w:color="auto"/>
            </w:tcBorders>
            <w:shd w:val="clear" w:color="auto" w:fill="auto"/>
            <w:noWrap/>
            <w:vAlign w:val="center"/>
            <w:hideMark/>
          </w:tcPr>
          <w:p w14:paraId="4ABC6496"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 </w:t>
            </w:r>
          </w:p>
        </w:tc>
        <w:tc>
          <w:tcPr>
            <w:tcW w:w="880" w:type="dxa"/>
            <w:tcBorders>
              <w:top w:val="single" w:sz="4" w:space="0" w:color="auto"/>
              <w:left w:val="nil"/>
              <w:bottom w:val="nil"/>
              <w:right w:val="single" w:sz="4" w:space="0" w:color="auto"/>
            </w:tcBorders>
            <w:shd w:val="clear" w:color="auto" w:fill="auto"/>
            <w:noWrap/>
            <w:vAlign w:val="center"/>
            <w:hideMark/>
          </w:tcPr>
          <w:p w14:paraId="386BBC0A"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 </w:t>
            </w:r>
          </w:p>
        </w:tc>
        <w:tc>
          <w:tcPr>
            <w:tcW w:w="960" w:type="dxa"/>
            <w:tcBorders>
              <w:top w:val="single" w:sz="4" w:space="0" w:color="auto"/>
              <w:left w:val="nil"/>
              <w:bottom w:val="nil"/>
              <w:right w:val="single" w:sz="4" w:space="0" w:color="auto"/>
            </w:tcBorders>
            <w:shd w:val="clear" w:color="auto" w:fill="auto"/>
            <w:noWrap/>
            <w:vAlign w:val="center"/>
            <w:hideMark/>
          </w:tcPr>
          <w:p w14:paraId="1819948A"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 </w:t>
            </w:r>
          </w:p>
        </w:tc>
        <w:tc>
          <w:tcPr>
            <w:tcW w:w="880" w:type="dxa"/>
            <w:tcBorders>
              <w:top w:val="nil"/>
              <w:left w:val="nil"/>
              <w:bottom w:val="nil"/>
              <w:right w:val="single" w:sz="4" w:space="0" w:color="auto"/>
            </w:tcBorders>
            <w:shd w:val="clear" w:color="000000" w:fill="BFBFBF"/>
            <w:noWrap/>
            <w:vAlign w:val="center"/>
            <w:hideMark/>
          </w:tcPr>
          <w:p w14:paraId="286441DC"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 </w:t>
            </w:r>
          </w:p>
        </w:tc>
        <w:tc>
          <w:tcPr>
            <w:tcW w:w="880" w:type="dxa"/>
            <w:tcBorders>
              <w:top w:val="single" w:sz="4" w:space="0" w:color="auto"/>
              <w:left w:val="nil"/>
              <w:bottom w:val="nil"/>
              <w:right w:val="single" w:sz="4" w:space="0" w:color="auto"/>
            </w:tcBorders>
            <w:shd w:val="clear" w:color="auto" w:fill="auto"/>
            <w:noWrap/>
            <w:vAlign w:val="center"/>
            <w:hideMark/>
          </w:tcPr>
          <w:p w14:paraId="293F5297"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 </w:t>
            </w:r>
          </w:p>
        </w:tc>
        <w:tc>
          <w:tcPr>
            <w:tcW w:w="880" w:type="dxa"/>
            <w:tcBorders>
              <w:top w:val="single" w:sz="4" w:space="0" w:color="auto"/>
              <w:left w:val="nil"/>
              <w:bottom w:val="nil"/>
              <w:right w:val="single" w:sz="4" w:space="0" w:color="auto"/>
            </w:tcBorders>
            <w:shd w:val="clear" w:color="auto" w:fill="auto"/>
            <w:noWrap/>
            <w:vAlign w:val="center"/>
            <w:hideMark/>
          </w:tcPr>
          <w:p w14:paraId="7D503123" w14:textId="77777777" w:rsidR="00D93B8E" w:rsidRPr="00D93B8E" w:rsidRDefault="00D93B8E" w:rsidP="00D93B8E">
            <w:pPr>
              <w:autoSpaceDE/>
              <w:autoSpaceDN/>
              <w:adjustRightInd/>
              <w:spacing w:after="0"/>
              <w:jc w:val="center"/>
              <w:rPr>
                <w:rFonts w:eastAsia="Times New Roman" w:cs="Arial"/>
                <w:i/>
                <w:iCs/>
                <w:sz w:val="16"/>
                <w:szCs w:val="16"/>
                <w:lang w:eastAsia="en-GB"/>
              </w:rPr>
            </w:pPr>
            <w:r w:rsidRPr="00D93B8E">
              <w:rPr>
                <w:rFonts w:eastAsia="Times New Roman" w:cs="Arial"/>
                <w:i/>
                <w:iCs/>
                <w:sz w:val="16"/>
                <w:szCs w:val="16"/>
                <w:lang w:eastAsia="en-GB"/>
              </w:rPr>
              <w:t>85.162</w:t>
            </w:r>
          </w:p>
        </w:tc>
        <w:tc>
          <w:tcPr>
            <w:tcW w:w="880" w:type="dxa"/>
            <w:tcBorders>
              <w:top w:val="single" w:sz="4" w:space="0" w:color="auto"/>
              <w:left w:val="nil"/>
              <w:bottom w:val="nil"/>
              <w:right w:val="single" w:sz="4" w:space="0" w:color="auto"/>
            </w:tcBorders>
            <w:shd w:val="clear" w:color="auto" w:fill="auto"/>
            <w:noWrap/>
            <w:vAlign w:val="center"/>
            <w:hideMark/>
          </w:tcPr>
          <w:p w14:paraId="0879F418" w14:textId="77777777" w:rsidR="00D93B8E" w:rsidRPr="00D93B8E" w:rsidRDefault="00D93B8E" w:rsidP="00D93B8E">
            <w:pPr>
              <w:autoSpaceDE/>
              <w:autoSpaceDN/>
              <w:adjustRightInd/>
              <w:spacing w:after="0"/>
              <w:jc w:val="center"/>
              <w:rPr>
                <w:rFonts w:eastAsia="Times New Roman" w:cs="Arial"/>
                <w:i/>
                <w:iCs/>
                <w:sz w:val="16"/>
                <w:szCs w:val="16"/>
                <w:lang w:eastAsia="en-GB"/>
              </w:rPr>
            </w:pPr>
            <w:r w:rsidRPr="00D93B8E">
              <w:rPr>
                <w:rFonts w:eastAsia="Times New Roman" w:cs="Arial"/>
                <w:i/>
                <w:iCs/>
                <w:sz w:val="16"/>
                <w:szCs w:val="16"/>
                <w:lang w:eastAsia="en-GB"/>
              </w:rPr>
              <w:t>115.392</w:t>
            </w:r>
          </w:p>
        </w:tc>
        <w:tc>
          <w:tcPr>
            <w:tcW w:w="880" w:type="dxa"/>
            <w:tcBorders>
              <w:top w:val="nil"/>
              <w:left w:val="nil"/>
              <w:bottom w:val="nil"/>
              <w:right w:val="single" w:sz="8" w:space="0" w:color="auto"/>
            </w:tcBorders>
            <w:shd w:val="clear" w:color="000000" w:fill="BFBFBF"/>
            <w:noWrap/>
            <w:vAlign w:val="center"/>
            <w:hideMark/>
          </w:tcPr>
          <w:p w14:paraId="4995F13E" w14:textId="77777777" w:rsidR="00D93B8E" w:rsidRPr="00D93B8E" w:rsidRDefault="00D93B8E" w:rsidP="00D93B8E">
            <w:pPr>
              <w:autoSpaceDE/>
              <w:autoSpaceDN/>
              <w:adjustRightInd/>
              <w:spacing w:after="0"/>
              <w:jc w:val="center"/>
              <w:rPr>
                <w:rFonts w:eastAsia="Times New Roman" w:cs="Arial"/>
                <w:i/>
                <w:iCs/>
                <w:sz w:val="16"/>
                <w:szCs w:val="16"/>
                <w:lang w:eastAsia="en-GB"/>
              </w:rPr>
            </w:pPr>
            <w:r w:rsidRPr="00D93B8E">
              <w:rPr>
                <w:rFonts w:eastAsia="Times New Roman" w:cs="Arial"/>
                <w:i/>
                <w:iCs/>
                <w:sz w:val="16"/>
                <w:szCs w:val="16"/>
                <w:lang w:eastAsia="en-GB"/>
              </w:rPr>
              <w:t>200.554</w:t>
            </w:r>
          </w:p>
        </w:tc>
      </w:tr>
      <w:tr w:rsidR="00D93B8E" w:rsidRPr="00D93B8E" w14:paraId="61994F88" w14:textId="77777777" w:rsidTr="00D93B8E">
        <w:trPr>
          <w:trHeight w:val="638"/>
        </w:trPr>
        <w:tc>
          <w:tcPr>
            <w:tcW w:w="2680" w:type="dxa"/>
            <w:tcBorders>
              <w:top w:val="single" w:sz="4" w:space="0" w:color="auto"/>
              <w:left w:val="single" w:sz="8" w:space="0" w:color="auto"/>
              <w:bottom w:val="nil"/>
              <w:right w:val="single" w:sz="4" w:space="0" w:color="auto"/>
            </w:tcBorders>
            <w:shd w:val="clear" w:color="auto" w:fill="auto"/>
            <w:vAlign w:val="center"/>
            <w:hideMark/>
          </w:tcPr>
          <w:p w14:paraId="060AD89B" w14:textId="77777777" w:rsidR="00D93B8E" w:rsidRPr="00D93B8E" w:rsidRDefault="00D93B8E" w:rsidP="00D93B8E">
            <w:pPr>
              <w:autoSpaceDE/>
              <w:autoSpaceDN/>
              <w:adjustRightInd/>
              <w:spacing w:after="0"/>
              <w:jc w:val="left"/>
              <w:rPr>
                <w:rFonts w:eastAsia="Times New Roman" w:cs="Arial"/>
                <w:sz w:val="16"/>
                <w:szCs w:val="16"/>
                <w:lang w:eastAsia="en-GB"/>
              </w:rPr>
            </w:pPr>
            <w:r w:rsidRPr="00D93B8E">
              <w:rPr>
                <w:rFonts w:eastAsia="Times New Roman" w:cs="Arial"/>
                <w:sz w:val="16"/>
                <w:szCs w:val="16"/>
                <w:lang w:eastAsia="en-GB"/>
              </w:rPr>
              <w:t>Available reserves to support financial gap</w:t>
            </w:r>
          </w:p>
        </w:tc>
        <w:tc>
          <w:tcPr>
            <w:tcW w:w="1240" w:type="dxa"/>
            <w:tcBorders>
              <w:top w:val="single" w:sz="4" w:space="0" w:color="auto"/>
              <w:left w:val="nil"/>
              <w:bottom w:val="nil"/>
              <w:right w:val="single" w:sz="4" w:space="0" w:color="auto"/>
            </w:tcBorders>
            <w:shd w:val="clear" w:color="auto" w:fill="auto"/>
            <w:noWrap/>
            <w:vAlign w:val="center"/>
            <w:hideMark/>
          </w:tcPr>
          <w:p w14:paraId="69245F6A"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c>
          <w:tcPr>
            <w:tcW w:w="880" w:type="dxa"/>
            <w:tcBorders>
              <w:top w:val="single" w:sz="4" w:space="0" w:color="auto"/>
              <w:left w:val="nil"/>
              <w:bottom w:val="nil"/>
              <w:right w:val="single" w:sz="4" w:space="0" w:color="auto"/>
            </w:tcBorders>
            <w:shd w:val="clear" w:color="auto" w:fill="auto"/>
            <w:noWrap/>
            <w:vAlign w:val="center"/>
            <w:hideMark/>
          </w:tcPr>
          <w:p w14:paraId="336D4CAF"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c>
          <w:tcPr>
            <w:tcW w:w="960" w:type="dxa"/>
            <w:tcBorders>
              <w:top w:val="single" w:sz="4" w:space="0" w:color="auto"/>
              <w:left w:val="nil"/>
              <w:bottom w:val="nil"/>
              <w:right w:val="single" w:sz="4" w:space="0" w:color="auto"/>
            </w:tcBorders>
            <w:shd w:val="clear" w:color="auto" w:fill="auto"/>
            <w:noWrap/>
            <w:vAlign w:val="center"/>
            <w:hideMark/>
          </w:tcPr>
          <w:p w14:paraId="0323B3FD"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c>
          <w:tcPr>
            <w:tcW w:w="880" w:type="dxa"/>
            <w:tcBorders>
              <w:top w:val="single" w:sz="4" w:space="0" w:color="auto"/>
              <w:left w:val="nil"/>
              <w:bottom w:val="nil"/>
              <w:right w:val="single" w:sz="4" w:space="0" w:color="auto"/>
            </w:tcBorders>
            <w:shd w:val="clear" w:color="000000" w:fill="BFBFBF"/>
            <w:noWrap/>
            <w:vAlign w:val="center"/>
            <w:hideMark/>
          </w:tcPr>
          <w:p w14:paraId="0BBC9F4B"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c>
          <w:tcPr>
            <w:tcW w:w="880" w:type="dxa"/>
            <w:tcBorders>
              <w:top w:val="single" w:sz="4" w:space="0" w:color="auto"/>
              <w:left w:val="nil"/>
              <w:bottom w:val="nil"/>
              <w:right w:val="single" w:sz="4" w:space="0" w:color="auto"/>
            </w:tcBorders>
            <w:shd w:val="clear" w:color="auto" w:fill="auto"/>
            <w:noWrap/>
            <w:vAlign w:val="center"/>
            <w:hideMark/>
          </w:tcPr>
          <w:p w14:paraId="5E37C46F"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c>
          <w:tcPr>
            <w:tcW w:w="880" w:type="dxa"/>
            <w:tcBorders>
              <w:top w:val="single" w:sz="4" w:space="0" w:color="auto"/>
              <w:left w:val="nil"/>
              <w:bottom w:val="nil"/>
              <w:right w:val="single" w:sz="4" w:space="0" w:color="auto"/>
            </w:tcBorders>
            <w:shd w:val="clear" w:color="auto" w:fill="auto"/>
            <w:noWrap/>
            <w:vAlign w:val="center"/>
            <w:hideMark/>
          </w:tcPr>
          <w:p w14:paraId="1C77AC09"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83.249</w:t>
            </w:r>
          </w:p>
        </w:tc>
        <w:tc>
          <w:tcPr>
            <w:tcW w:w="880" w:type="dxa"/>
            <w:tcBorders>
              <w:top w:val="single" w:sz="4" w:space="0" w:color="auto"/>
              <w:left w:val="nil"/>
              <w:bottom w:val="nil"/>
              <w:right w:val="single" w:sz="4" w:space="0" w:color="auto"/>
            </w:tcBorders>
            <w:shd w:val="clear" w:color="auto" w:fill="auto"/>
            <w:noWrap/>
            <w:vAlign w:val="center"/>
            <w:hideMark/>
          </w:tcPr>
          <w:p w14:paraId="360F9808"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0.000</w:t>
            </w:r>
          </w:p>
        </w:tc>
        <w:tc>
          <w:tcPr>
            <w:tcW w:w="880" w:type="dxa"/>
            <w:tcBorders>
              <w:top w:val="single" w:sz="4" w:space="0" w:color="auto"/>
              <w:left w:val="nil"/>
              <w:bottom w:val="nil"/>
              <w:right w:val="single" w:sz="8" w:space="0" w:color="auto"/>
            </w:tcBorders>
            <w:shd w:val="clear" w:color="000000" w:fill="BFBFBF"/>
            <w:noWrap/>
            <w:vAlign w:val="center"/>
            <w:hideMark/>
          </w:tcPr>
          <w:p w14:paraId="0F483EAE" w14:textId="77777777" w:rsidR="00D93B8E" w:rsidRPr="00D93B8E" w:rsidRDefault="00D93B8E" w:rsidP="00D93B8E">
            <w:pPr>
              <w:autoSpaceDE/>
              <w:autoSpaceDN/>
              <w:adjustRightInd/>
              <w:spacing w:after="0"/>
              <w:jc w:val="center"/>
              <w:rPr>
                <w:rFonts w:eastAsia="Times New Roman" w:cs="Arial"/>
                <w:sz w:val="16"/>
                <w:szCs w:val="16"/>
                <w:lang w:eastAsia="en-GB"/>
              </w:rPr>
            </w:pPr>
            <w:r w:rsidRPr="00D93B8E">
              <w:rPr>
                <w:rFonts w:eastAsia="Times New Roman" w:cs="Arial"/>
                <w:sz w:val="16"/>
                <w:szCs w:val="16"/>
                <w:lang w:eastAsia="en-GB"/>
              </w:rPr>
              <w:t>83.249</w:t>
            </w:r>
          </w:p>
        </w:tc>
      </w:tr>
      <w:tr w:rsidR="00D93B8E" w:rsidRPr="00D93B8E" w14:paraId="5AD4482A" w14:textId="77777777" w:rsidTr="00D93B8E">
        <w:trPr>
          <w:trHeight w:val="420"/>
        </w:trPr>
        <w:tc>
          <w:tcPr>
            <w:tcW w:w="2680"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518D08B2" w14:textId="114E272D" w:rsidR="00D93B8E" w:rsidRPr="00D93B8E" w:rsidRDefault="00D93B8E" w:rsidP="00D93B8E">
            <w:pPr>
              <w:autoSpaceDE/>
              <w:autoSpaceDN/>
              <w:adjustRightInd/>
              <w:spacing w:after="0"/>
              <w:jc w:val="left"/>
              <w:rPr>
                <w:rFonts w:eastAsia="Times New Roman" w:cs="Arial"/>
                <w:b/>
                <w:bCs/>
                <w:sz w:val="16"/>
                <w:szCs w:val="16"/>
                <w:lang w:eastAsia="en-GB"/>
              </w:rPr>
            </w:pPr>
            <w:r w:rsidRPr="00D93B8E">
              <w:rPr>
                <w:rFonts w:eastAsia="Times New Roman" w:cs="Arial"/>
                <w:b/>
                <w:bCs/>
                <w:sz w:val="16"/>
                <w:szCs w:val="16"/>
                <w:lang w:eastAsia="en-GB"/>
              </w:rPr>
              <w:t>TOTAL</w:t>
            </w:r>
            <w:r w:rsidR="00355458">
              <w:rPr>
                <w:rFonts w:eastAsia="Times New Roman" w:cs="Arial"/>
                <w:b/>
                <w:bCs/>
                <w:sz w:val="16"/>
                <w:szCs w:val="16"/>
                <w:lang w:eastAsia="en-GB"/>
              </w:rPr>
              <w:t xml:space="preserve"> (not including MTFS Funding Gap included above for  information)</w:t>
            </w:r>
          </w:p>
        </w:tc>
        <w:tc>
          <w:tcPr>
            <w:tcW w:w="1240" w:type="dxa"/>
            <w:tcBorders>
              <w:top w:val="single" w:sz="8" w:space="0" w:color="auto"/>
              <w:left w:val="nil"/>
              <w:bottom w:val="single" w:sz="8" w:space="0" w:color="auto"/>
              <w:right w:val="single" w:sz="4" w:space="0" w:color="auto"/>
            </w:tcBorders>
            <w:shd w:val="clear" w:color="000000" w:fill="BFBFBF"/>
            <w:noWrap/>
            <w:vAlign w:val="center"/>
            <w:hideMark/>
          </w:tcPr>
          <w:p w14:paraId="2A936AE8"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-314.648</w:t>
            </w:r>
          </w:p>
        </w:tc>
        <w:tc>
          <w:tcPr>
            <w:tcW w:w="880" w:type="dxa"/>
            <w:tcBorders>
              <w:top w:val="single" w:sz="8" w:space="0" w:color="auto"/>
              <w:left w:val="nil"/>
              <w:bottom w:val="single" w:sz="8" w:space="0" w:color="auto"/>
              <w:right w:val="single" w:sz="4" w:space="0" w:color="auto"/>
            </w:tcBorders>
            <w:shd w:val="clear" w:color="000000" w:fill="BFBFBF"/>
            <w:noWrap/>
            <w:vAlign w:val="center"/>
            <w:hideMark/>
          </w:tcPr>
          <w:p w14:paraId="747922BD"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88.434</w:t>
            </w:r>
          </w:p>
        </w:tc>
        <w:tc>
          <w:tcPr>
            <w:tcW w:w="960" w:type="dxa"/>
            <w:tcBorders>
              <w:top w:val="single" w:sz="8" w:space="0" w:color="auto"/>
              <w:left w:val="nil"/>
              <w:bottom w:val="single" w:sz="8" w:space="0" w:color="auto"/>
              <w:right w:val="single" w:sz="4" w:space="0" w:color="auto"/>
            </w:tcBorders>
            <w:shd w:val="clear" w:color="000000" w:fill="BFBFBF"/>
            <w:noWrap/>
            <w:vAlign w:val="center"/>
            <w:hideMark/>
          </w:tcPr>
          <w:p w14:paraId="6636B268"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-24.082</w:t>
            </w:r>
          </w:p>
        </w:tc>
        <w:tc>
          <w:tcPr>
            <w:tcW w:w="880" w:type="dxa"/>
            <w:tcBorders>
              <w:top w:val="single" w:sz="8" w:space="0" w:color="auto"/>
              <w:left w:val="nil"/>
              <w:bottom w:val="single" w:sz="8" w:space="0" w:color="auto"/>
              <w:right w:val="single" w:sz="4" w:space="0" w:color="auto"/>
            </w:tcBorders>
            <w:shd w:val="clear" w:color="000000" w:fill="BFBFBF"/>
            <w:noWrap/>
            <w:vAlign w:val="center"/>
            <w:hideMark/>
          </w:tcPr>
          <w:p w14:paraId="5B672276"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-250.295</w:t>
            </w:r>
          </w:p>
        </w:tc>
        <w:tc>
          <w:tcPr>
            <w:tcW w:w="880" w:type="dxa"/>
            <w:tcBorders>
              <w:top w:val="single" w:sz="8" w:space="0" w:color="auto"/>
              <w:left w:val="nil"/>
              <w:bottom w:val="single" w:sz="8" w:space="0" w:color="auto"/>
              <w:right w:val="single" w:sz="4" w:space="0" w:color="auto"/>
            </w:tcBorders>
            <w:shd w:val="clear" w:color="000000" w:fill="BFBFBF"/>
            <w:noWrap/>
            <w:vAlign w:val="center"/>
            <w:hideMark/>
          </w:tcPr>
          <w:p w14:paraId="1EA1EB2D"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107.298</w:t>
            </w:r>
          </w:p>
        </w:tc>
        <w:tc>
          <w:tcPr>
            <w:tcW w:w="880" w:type="dxa"/>
            <w:tcBorders>
              <w:top w:val="single" w:sz="8" w:space="0" w:color="auto"/>
              <w:left w:val="nil"/>
              <w:bottom w:val="single" w:sz="8" w:space="0" w:color="auto"/>
              <w:right w:val="single" w:sz="4" w:space="0" w:color="auto"/>
            </w:tcBorders>
            <w:shd w:val="clear" w:color="000000" w:fill="BFBFBF"/>
            <w:noWrap/>
            <w:vAlign w:val="center"/>
            <w:hideMark/>
          </w:tcPr>
          <w:p w14:paraId="44C7DCD0"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93.382</w:t>
            </w:r>
          </w:p>
        </w:tc>
        <w:tc>
          <w:tcPr>
            <w:tcW w:w="880" w:type="dxa"/>
            <w:tcBorders>
              <w:top w:val="single" w:sz="8" w:space="0" w:color="auto"/>
              <w:left w:val="nil"/>
              <w:bottom w:val="single" w:sz="8" w:space="0" w:color="auto"/>
              <w:right w:val="single" w:sz="4" w:space="0" w:color="auto"/>
            </w:tcBorders>
            <w:shd w:val="clear" w:color="000000" w:fill="BFBFBF"/>
            <w:noWrap/>
            <w:vAlign w:val="center"/>
            <w:hideMark/>
          </w:tcPr>
          <w:p w14:paraId="426EEBA2"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-0.623</w:t>
            </w:r>
          </w:p>
        </w:tc>
        <w:tc>
          <w:tcPr>
            <w:tcW w:w="880" w:type="dxa"/>
            <w:tcBorders>
              <w:top w:val="single" w:sz="8" w:space="0" w:color="auto"/>
              <w:left w:val="nil"/>
              <w:bottom w:val="single" w:sz="8" w:space="0" w:color="auto"/>
              <w:right w:val="single" w:sz="4" w:space="0" w:color="auto"/>
            </w:tcBorders>
            <w:shd w:val="clear" w:color="000000" w:fill="BFBFBF"/>
            <w:noWrap/>
            <w:vAlign w:val="center"/>
            <w:hideMark/>
          </w:tcPr>
          <w:p w14:paraId="3452780D" w14:textId="77777777" w:rsidR="00D93B8E" w:rsidRPr="00D93B8E" w:rsidRDefault="00D93B8E" w:rsidP="00D93B8E">
            <w:pPr>
              <w:autoSpaceDE/>
              <w:autoSpaceDN/>
              <w:adjustRightInd/>
              <w:spacing w:after="0"/>
              <w:jc w:val="center"/>
              <w:rPr>
                <w:rFonts w:eastAsia="Times New Roman" w:cs="Arial"/>
                <w:b/>
                <w:bCs/>
                <w:sz w:val="16"/>
                <w:szCs w:val="16"/>
                <w:lang w:eastAsia="en-GB"/>
              </w:rPr>
            </w:pPr>
            <w:r w:rsidRPr="00D93B8E">
              <w:rPr>
                <w:rFonts w:eastAsia="Times New Roman" w:cs="Arial"/>
                <w:b/>
                <w:bCs/>
                <w:sz w:val="16"/>
                <w:szCs w:val="16"/>
                <w:lang w:eastAsia="en-GB"/>
              </w:rPr>
              <w:t>-50.238</w:t>
            </w:r>
          </w:p>
        </w:tc>
      </w:tr>
    </w:tbl>
    <w:p w14:paraId="0962C914" w14:textId="77777777" w:rsidR="00A5559E" w:rsidRDefault="00A5559E" w:rsidP="009F22F6">
      <w:pPr>
        <w:spacing w:after="0"/>
        <w:ind w:right="-330"/>
        <w:rPr>
          <w:rFonts w:cs="Arial"/>
        </w:rPr>
      </w:pPr>
    </w:p>
    <w:p w14:paraId="3700F75C" w14:textId="37AD36B1" w:rsidR="005030EA" w:rsidRDefault="00E40C1B" w:rsidP="009F22F6">
      <w:pPr>
        <w:spacing w:after="0"/>
        <w:ind w:right="-330"/>
        <w:rPr>
          <w:rFonts w:cs="Arial"/>
          <w:i/>
          <w:sz w:val="20"/>
          <w:szCs w:val="20"/>
        </w:rPr>
      </w:pPr>
      <w:r w:rsidRPr="006F2DE0">
        <w:rPr>
          <w:rFonts w:cs="Arial"/>
          <w:i/>
          <w:sz w:val="20"/>
          <w:szCs w:val="20"/>
        </w:rPr>
        <w:t>Note</w:t>
      </w:r>
      <w:r w:rsidR="00133426">
        <w:rPr>
          <w:rFonts w:cs="Arial"/>
          <w:i/>
          <w:sz w:val="20"/>
          <w:szCs w:val="20"/>
        </w:rPr>
        <w:t xml:space="preserve"> 1</w:t>
      </w:r>
      <w:r w:rsidRPr="006F2DE0">
        <w:rPr>
          <w:rFonts w:cs="Arial"/>
          <w:i/>
          <w:sz w:val="20"/>
          <w:szCs w:val="20"/>
        </w:rPr>
        <w:t>: t</w:t>
      </w:r>
      <w:r w:rsidR="00E04ED8" w:rsidRPr="006F2DE0">
        <w:rPr>
          <w:rFonts w:cs="Arial"/>
          <w:i/>
          <w:sz w:val="20"/>
          <w:szCs w:val="20"/>
        </w:rPr>
        <w:t>he Service R</w:t>
      </w:r>
      <w:r w:rsidR="008A18BE" w:rsidRPr="006F2DE0">
        <w:rPr>
          <w:rFonts w:cs="Arial"/>
          <w:i/>
          <w:sz w:val="20"/>
          <w:szCs w:val="20"/>
        </w:rPr>
        <w:t>eserves</w:t>
      </w:r>
      <w:r w:rsidR="00A53AE1" w:rsidRPr="006F2DE0">
        <w:rPr>
          <w:rFonts w:cs="Arial"/>
          <w:i/>
          <w:sz w:val="20"/>
          <w:szCs w:val="20"/>
        </w:rPr>
        <w:t xml:space="preserve"> </w:t>
      </w:r>
      <w:r w:rsidR="00966573" w:rsidRPr="006F2DE0">
        <w:rPr>
          <w:rFonts w:cs="Arial"/>
          <w:i/>
          <w:sz w:val="20"/>
          <w:szCs w:val="20"/>
        </w:rPr>
        <w:t>reflect the inclusion of</w:t>
      </w:r>
      <w:r w:rsidR="00A53AE1" w:rsidRPr="006F2DE0">
        <w:rPr>
          <w:rFonts w:cs="Arial"/>
          <w:i/>
          <w:sz w:val="20"/>
          <w:szCs w:val="20"/>
        </w:rPr>
        <w:t xml:space="preserve"> the </w:t>
      </w:r>
      <w:r w:rsidR="00726AF7" w:rsidRPr="006F2DE0">
        <w:rPr>
          <w:rFonts w:cs="Arial"/>
          <w:i/>
          <w:sz w:val="20"/>
          <w:szCs w:val="20"/>
        </w:rPr>
        <w:t xml:space="preserve">actual </w:t>
      </w:r>
      <w:r w:rsidR="008A18BE" w:rsidRPr="006F2DE0">
        <w:rPr>
          <w:rFonts w:cs="Arial"/>
          <w:i/>
          <w:sz w:val="20"/>
          <w:szCs w:val="20"/>
        </w:rPr>
        <w:t xml:space="preserve">income and </w:t>
      </w:r>
      <w:r w:rsidR="00726AF7" w:rsidRPr="006F2DE0">
        <w:rPr>
          <w:rFonts w:cs="Arial"/>
          <w:i/>
          <w:sz w:val="20"/>
          <w:szCs w:val="20"/>
        </w:rPr>
        <w:t xml:space="preserve">committed </w:t>
      </w:r>
      <w:r w:rsidR="008A18BE" w:rsidRPr="006F2DE0">
        <w:rPr>
          <w:rFonts w:cs="Arial"/>
          <w:i/>
          <w:sz w:val="20"/>
          <w:szCs w:val="20"/>
        </w:rPr>
        <w:t>expenditure for the Growth D</w:t>
      </w:r>
      <w:r w:rsidR="00A53AE1" w:rsidRPr="006F2DE0">
        <w:rPr>
          <w:rFonts w:cs="Arial"/>
          <w:i/>
          <w:sz w:val="20"/>
          <w:szCs w:val="20"/>
        </w:rPr>
        <w:t xml:space="preserve">eal </w:t>
      </w:r>
      <w:r w:rsidR="008A18BE" w:rsidRPr="006F2DE0">
        <w:rPr>
          <w:rFonts w:cs="Arial"/>
          <w:i/>
          <w:sz w:val="20"/>
          <w:szCs w:val="20"/>
        </w:rPr>
        <w:t xml:space="preserve">of </w:t>
      </w:r>
      <w:r w:rsidR="00A5559E" w:rsidRPr="006F2DE0">
        <w:rPr>
          <w:rFonts w:cs="Arial"/>
          <w:i/>
          <w:sz w:val="20"/>
          <w:szCs w:val="20"/>
        </w:rPr>
        <w:t>£52.8</w:t>
      </w:r>
      <w:r w:rsidR="005C1D50" w:rsidRPr="006F2DE0">
        <w:rPr>
          <w:rFonts w:cs="Arial"/>
          <w:i/>
          <w:sz w:val="20"/>
          <w:szCs w:val="20"/>
        </w:rPr>
        <w:t>25</w:t>
      </w:r>
      <w:r w:rsidR="00A53AE1" w:rsidRPr="006F2DE0">
        <w:rPr>
          <w:rFonts w:cs="Arial"/>
          <w:i/>
          <w:sz w:val="20"/>
          <w:szCs w:val="20"/>
        </w:rPr>
        <w:t>m.</w:t>
      </w:r>
      <w:r w:rsidR="00F021D1" w:rsidRPr="006F2DE0">
        <w:rPr>
          <w:rFonts w:cs="Arial"/>
          <w:i/>
          <w:sz w:val="20"/>
          <w:szCs w:val="20"/>
        </w:rPr>
        <w:t xml:space="preserve"> This cannot be seen in the table above as </w:t>
      </w:r>
      <w:r w:rsidR="006F2DE0" w:rsidRPr="006F2DE0">
        <w:rPr>
          <w:rFonts w:cs="Arial"/>
          <w:i/>
          <w:sz w:val="20"/>
          <w:szCs w:val="20"/>
        </w:rPr>
        <w:t xml:space="preserve">these are funds that come into reserves and are spent during the year and therefore have a net nil impact. </w:t>
      </w:r>
    </w:p>
    <w:p w14:paraId="388E2E2E" w14:textId="77777777" w:rsidR="00692A2A" w:rsidRDefault="00692A2A" w:rsidP="009F22F6">
      <w:pPr>
        <w:spacing w:after="0"/>
        <w:ind w:right="-330"/>
        <w:rPr>
          <w:rFonts w:cs="Arial"/>
          <w:i/>
          <w:sz w:val="20"/>
          <w:szCs w:val="20"/>
        </w:rPr>
      </w:pPr>
    </w:p>
    <w:p w14:paraId="418E7DD7" w14:textId="127E86DC" w:rsidR="00692A2A" w:rsidRDefault="00692A2A" w:rsidP="009F22F6">
      <w:pPr>
        <w:spacing w:after="0"/>
        <w:ind w:right="-330"/>
        <w:rPr>
          <w:rFonts w:cs="Arial"/>
          <w:i/>
          <w:sz w:val="20"/>
          <w:szCs w:val="20"/>
        </w:rPr>
      </w:pPr>
      <w:r>
        <w:rPr>
          <w:rFonts w:cs="Arial"/>
          <w:i/>
          <w:sz w:val="20"/>
          <w:szCs w:val="20"/>
        </w:rPr>
        <w:t xml:space="preserve">Note 2: £0.415m has transferred from Service Reserves to Schools Reserves which are not included in this report. </w:t>
      </w:r>
    </w:p>
    <w:p w14:paraId="006DD555" w14:textId="77777777" w:rsidR="000404BF" w:rsidRDefault="000404BF" w:rsidP="009F22F6">
      <w:pPr>
        <w:spacing w:after="0"/>
        <w:ind w:right="-330"/>
        <w:rPr>
          <w:rFonts w:cs="Arial"/>
          <w:i/>
          <w:sz w:val="20"/>
          <w:szCs w:val="20"/>
        </w:rPr>
      </w:pPr>
    </w:p>
    <w:p w14:paraId="1829D578" w14:textId="1F2EB3EB" w:rsidR="008308E2" w:rsidRDefault="00317328" w:rsidP="00B60B5D">
      <w:pPr>
        <w:spacing w:after="0"/>
        <w:ind w:right="-24"/>
        <w:rPr>
          <w:rFonts w:cs="Arial"/>
        </w:rPr>
      </w:pPr>
      <w:r>
        <w:rPr>
          <w:rFonts w:cs="Arial"/>
        </w:rPr>
        <w:t xml:space="preserve">The above table demonstrates </w:t>
      </w:r>
      <w:r w:rsidR="00D70EDA">
        <w:rPr>
          <w:rFonts w:cs="Arial"/>
        </w:rPr>
        <w:t>that following the application of the remai</w:t>
      </w:r>
      <w:r w:rsidR="009A5DE2">
        <w:rPr>
          <w:rFonts w:cs="Arial"/>
        </w:rPr>
        <w:t>ning available reserves of £83.2</w:t>
      </w:r>
      <w:r w:rsidR="00D70EDA">
        <w:rPr>
          <w:rFonts w:cs="Arial"/>
        </w:rPr>
        <w:t xml:space="preserve">49m to support the financial gap/shortfall within the 2018/19 budget the only remaining balance on reserves are County Fund (£36.000m), non LCC reserves (£13.898m) and 2019/20 commitments </w:t>
      </w:r>
      <w:r w:rsidR="00DB4E82">
        <w:rPr>
          <w:rFonts w:cs="Arial"/>
        </w:rPr>
        <w:t>(-</w:t>
      </w:r>
      <w:r w:rsidR="00D70EDA">
        <w:rPr>
          <w:rFonts w:cs="Arial"/>
        </w:rPr>
        <w:t>£0.340m). This draw down from reserves in 2018/19 is not sufficient to cover the whole financial gap in this financial year and provides confirmation that there are no reserves left to support the</w:t>
      </w:r>
      <w:r w:rsidR="00D93B8E">
        <w:rPr>
          <w:rFonts w:cs="Arial"/>
        </w:rPr>
        <w:t xml:space="preserve"> financial gap in future years.</w:t>
      </w:r>
    </w:p>
    <w:p w14:paraId="2FECBEFA" w14:textId="77777777" w:rsidR="00D04FFA" w:rsidRDefault="00D04FFA" w:rsidP="00B60B5D">
      <w:pPr>
        <w:spacing w:after="0"/>
        <w:ind w:right="-24"/>
        <w:rPr>
          <w:rFonts w:cs="Arial"/>
        </w:rPr>
      </w:pPr>
    </w:p>
    <w:p w14:paraId="28673B89" w14:textId="77777777" w:rsidR="00D04FFA" w:rsidRPr="008308E2" w:rsidRDefault="00D04FFA" w:rsidP="00B60B5D">
      <w:pPr>
        <w:spacing w:after="0"/>
        <w:ind w:right="-24"/>
        <w:rPr>
          <w:rFonts w:cs="Arial"/>
        </w:rPr>
      </w:pPr>
    </w:p>
    <w:p w14:paraId="17EF25E0" w14:textId="1EE21819" w:rsidR="008308E2" w:rsidRPr="008308E2" w:rsidRDefault="00492941" w:rsidP="00B60B5D">
      <w:pPr>
        <w:spacing w:after="0"/>
        <w:ind w:right="-24"/>
        <w:rPr>
          <w:rFonts w:cs="Arial"/>
          <w:b/>
        </w:rPr>
      </w:pPr>
      <w:r>
        <w:rPr>
          <w:rFonts w:cs="Arial"/>
          <w:b/>
        </w:rPr>
        <w:lastRenderedPageBreak/>
        <w:t>2</w:t>
      </w:r>
      <w:r w:rsidR="008308E2" w:rsidRPr="008308E2">
        <w:rPr>
          <w:rFonts w:cs="Arial"/>
          <w:b/>
        </w:rPr>
        <w:t>.1</w:t>
      </w:r>
      <w:r w:rsidR="008308E2" w:rsidRPr="008308E2">
        <w:rPr>
          <w:rFonts w:cs="Arial"/>
          <w:b/>
        </w:rPr>
        <w:tab/>
        <w:t>County Fund Balance</w:t>
      </w:r>
    </w:p>
    <w:p w14:paraId="4C8CCE94" w14:textId="77777777" w:rsidR="008308E2" w:rsidRPr="008308E2" w:rsidRDefault="008308E2" w:rsidP="00B60B5D">
      <w:pPr>
        <w:spacing w:after="0"/>
        <w:ind w:right="-24"/>
        <w:rPr>
          <w:rFonts w:cs="Arial"/>
        </w:rPr>
      </w:pPr>
    </w:p>
    <w:p w14:paraId="68FBC6F4" w14:textId="0FCB2FDC" w:rsidR="008308E2" w:rsidRPr="008308E2" w:rsidRDefault="008308E2" w:rsidP="00B60B5D">
      <w:pPr>
        <w:spacing w:after="0"/>
        <w:ind w:right="-24"/>
        <w:rPr>
          <w:rFonts w:cs="Arial"/>
        </w:rPr>
      </w:pPr>
      <w:r w:rsidRPr="008308E2">
        <w:rPr>
          <w:rFonts w:cs="Arial"/>
        </w:rPr>
        <w:t xml:space="preserve">The County Fund is the </w:t>
      </w:r>
      <w:r w:rsidR="00711810">
        <w:rPr>
          <w:rFonts w:cs="Arial"/>
        </w:rPr>
        <w:t xml:space="preserve">balance </w:t>
      </w:r>
      <w:r w:rsidR="005D6709">
        <w:rPr>
          <w:rFonts w:cs="Arial"/>
        </w:rPr>
        <w:t>set aside</w:t>
      </w:r>
      <w:r w:rsidRPr="008308E2">
        <w:rPr>
          <w:rFonts w:cs="Arial"/>
        </w:rPr>
        <w:t xml:space="preserve"> to cover </w:t>
      </w:r>
      <w:r w:rsidR="00733980">
        <w:rPr>
          <w:rFonts w:cs="Arial"/>
        </w:rPr>
        <w:t xml:space="preserve">the authority </w:t>
      </w:r>
      <w:r w:rsidR="00711810">
        <w:rPr>
          <w:rFonts w:cs="Arial"/>
        </w:rPr>
        <w:t xml:space="preserve">against a serious emergency situation (e.g. </w:t>
      </w:r>
      <w:r w:rsidR="00E40C1B">
        <w:rPr>
          <w:rFonts w:cs="Arial"/>
        </w:rPr>
        <w:t xml:space="preserve">widespread </w:t>
      </w:r>
      <w:r w:rsidR="00711810">
        <w:rPr>
          <w:rFonts w:cs="Arial"/>
        </w:rPr>
        <w:t>flooding); a critical and unexpected lo</w:t>
      </w:r>
      <w:r w:rsidRPr="008308E2">
        <w:rPr>
          <w:rFonts w:cs="Arial"/>
        </w:rPr>
        <w:t xml:space="preserve">ss of income </w:t>
      </w:r>
      <w:r w:rsidR="00EB1FA3" w:rsidRPr="00843693">
        <w:rPr>
          <w:rFonts w:cs="Arial"/>
        </w:rPr>
        <w:t xml:space="preserve">to the authority </w:t>
      </w:r>
      <w:r w:rsidRPr="00843693">
        <w:rPr>
          <w:rFonts w:cs="Arial"/>
        </w:rPr>
        <w:t xml:space="preserve">and </w:t>
      </w:r>
      <w:r w:rsidR="00711810" w:rsidRPr="00843693">
        <w:rPr>
          <w:rFonts w:cs="Arial"/>
        </w:rPr>
        <w:t xml:space="preserve">for </w:t>
      </w:r>
      <w:r w:rsidRPr="00843693">
        <w:rPr>
          <w:rFonts w:cs="Arial"/>
        </w:rPr>
        <w:t xml:space="preserve">general cash flow purposes.  In considering these various factors the County </w:t>
      </w:r>
      <w:r w:rsidR="00224312" w:rsidRPr="00843693">
        <w:rPr>
          <w:rFonts w:cs="Arial"/>
        </w:rPr>
        <w:t xml:space="preserve">Council </w:t>
      </w:r>
      <w:r w:rsidR="00733980" w:rsidRPr="00843693">
        <w:rPr>
          <w:rFonts w:cs="Arial"/>
        </w:rPr>
        <w:t>holds a</w:t>
      </w:r>
      <w:r w:rsidR="00224312" w:rsidRPr="00843693">
        <w:rPr>
          <w:rFonts w:cs="Arial"/>
        </w:rPr>
        <w:t xml:space="preserve"> County Fund b</w:t>
      </w:r>
      <w:r w:rsidRPr="00843693">
        <w:rPr>
          <w:rFonts w:cs="Arial"/>
        </w:rPr>
        <w:t>alance at £36</w:t>
      </w:r>
      <w:r w:rsidR="003D7BDC">
        <w:rPr>
          <w:rFonts w:cs="Arial"/>
        </w:rPr>
        <w:t>.000</w:t>
      </w:r>
      <w:r w:rsidRPr="00843693">
        <w:rPr>
          <w:rFonts w:cs="Arial"/>
        </w:rPr>
        <w:t>m.</w:t>
      </w:r>
      <w:r w:rsidR="00245B18" w:rsidRPr="00843693">
        <w:rPr>
          <w:rFonts w:cs="Arial"/>
        </w:rPr>
        <w:t xml:space="preserve"> </w:t>
      </w:r>
      <w:r w:rsidR="009177CF">
        <w:rPr>
          <w:rFonts w:cs="Arial"/>
        </w:rPr>
        <w:t>It is proposed this balance is retained as a prudent safeguard against any unexpected financial pressures.</w:t>
      </w:r>
    </w:p>
    <w:p w14:paraId="349CC4A7" w14:textId="1A433620" w:rsidR="008308E2" w:rsidRPr="008308E2" w:rsidRDefault="008308E2" w:rsidP="00B60B5D">
      <w:pPr>
        <w:spacing w:after="0"/>
        <w:ind w:right="-24"/>
        <w:rPr>
          <w:rFonts w:cs="Arial"/>
        </w:rPr>
      </w:pPr>
    </w:p>
    <w:p w14:paraId="7D31182D" w14:textId="78D0AD3E" w:rsidR="008308E2" w:rsidRDefault="00492941" w:rsidP="00B60B5D">
      <w:pPr>
        <w:spacing w:after="0"/>
        <w:ind w:right="-24"/>
        <w:rPr>
          <w:rFonts w:cs="Arial"/>
          <w:b/>
        </w:rPr>
      </w:pPr>
      <w:r>
        <w:rPr>
          <w:rFonts w:cs="Arial"/>
          <w:b/>
        </w:rPr>
        <w:t>2</w:t>
      </w:r>
      <w:r w:rsidR="00796B4C">
        <w:rPr>
          <w:rFonts w:cs="Arial"/>
          <w:b/>
        </w:rPr>
        <w:t>.2</w:t>
      </w:r>
      <w:r w:rsidR="008308E2">
        <w:rPr>
          <w:rFonts w:cs="Arial"/>
          <w:b/>
        </w:rPr>
        <w:tab/>
      </w:r>
      <w:r w:rsidR="008308E2" w:rsidRPr="008308E2">
        <w:rPr>
          <w:rFonts w:cs="Arial"/>
          <w:b/>
        </w:rPr>
        <w:t>Strategic Investment Reserve</w:t>
      </w:r>
    </w:p>
    <w:p w14:paraId="5F796A8F" w14:textId="77777777" w:rsidR="008308E2" w:rsidRPr="008308E2" w:rsidRDefault="008308E2" w:rsidP="00B60B5D">
      <w:pPr>
        <w:spacing w:after="0"/>
        <w:ind w:right="-24"/>
        <w:rPr>
          <w:rFonts w:cs="Arial"/>
          <w:b/>
        </w:rPr>
      </w:pPr>
    </w:p>
    <w:p w14:paraId="4FF9E5A9" w14:textId="100CF219" w:rsidR="0045628C" w:rsidRDefault="008308E2" w:rsidP="00D04FFA">
      <w:pPr>
        <w:spacing w:after="0"/>
        <w:ind w:right="-24"/>
        <w:rPr>
          <w:rFonts w:cs="Arial"/>
        </w:rPr>
      </w:pPr>
      <w:r w:rsidRPr="008308E2">
        <w:rPr>
          <w:rFonts w:cs="Arial"/>
        </w:rPr>
        <w:t>This reserve is held to fund an agreed programme of investment in areas in</w:t>
      </w:r>
      <w:r w:rsidR="004707FF">
        <w:rPr>
          <w:rFonts w:cs="Arial"/>
        </w:rPr>
        <w:t>cluding</w:t>
      </w:r>
      <w:r w:rsidR="004A5CF8">
        <w:rPr>
          <w:rFonts w:cs="Arial"/>
        </w:rPr>
        <w:t xml:space="preserve"> economic development,</w:t>
      </w:r>
      <w:r w:rsidRPr="008308E2">
        <w:rPr>
          <w:rFonts w:cs="Arial"/>
        </w:rPr>
        <w:t xml:space="preserve"> increasing employment opportunities and </w:t>
      </w:r>
      <w:r w:rsidR="00A4276E">
        <w:rPr>
          <w:rFonts w:cs="Arial"/>
        </w:rPr>
        <w:t>green energy</w:t>
      </w:r>
      <w:r w:rsidRPr="008308E2">
        <w:rPr>
          <w:rFonts w:cs="Arial"/>
        </w:rPr>
        <w:t>.</w:t>
      </w:r>
    </w:p>
    <w:p w14:paraId="40EC6BF2" w14:textId="77777777" w:rsidR="0045628C" w:rsidRDefault="0045628C" w:rsidP="00D04FFA">
      <w:pPr>
        <w:spacing w:after="0"/>
        <w:ind w:right="-24"/>
        <w:rPr>
          <w:rFonts w:cs="Arial"/>
        </w:rPr>
      </w:pPr>
    </w:p>
    <w:p w14:paraId="48F5FDCD" w14:textId="38A83F9D" w:rsidR="003908B6" w:rsidRDefault="009C4EBA" w:rsidP="00D04FFA">
      <w:pPr>
        <w:spacing w:after="0"/>
        <w:ind w:right="-24"/>
        <w:rPr>
          <w:rFonts w:cs="Arial"/>
        </w:rPr>
      </w:pPr>
      <w:r>
        <w:rPr>
          <w:rFonts w:cs="Arial"/>
        </w:rPr>
        <w:t>On 1</w:t>
      </w:r>
      <w:r w:rsidRPr="009C4EBA">
        <w:rPr>
          <w:rFonts w:cs="Arial"/>
          <w:vertAlign w:val="superscript"/>
        </w:rPr>
        <w:t>st</w:t>
      </w:r>
      <w:r>
        <w:rPr>
          <w:rFonts w:cs="Arial"/>
        </w:rPr>
        <w:t xml:space="preserve"> April 2016 this reserve</w:t>
      </w:r>
      <w:r w:rsidR="00796B4C">
        <w:rPr>
          <w:rFonts w:cs="Arial"/>
        </w:rPr>
        <w:t xml:space="preserve"> </w:t>
      </w:r>
      <w:r>
        <w:rPr>
          <w:rFonts w:cs="Arial"/>
        </w:rPr>
        <w:t xml:space="preserve">held a </w:t>
      </w:r>
      <w:r w:rsidR="00796B4C">
        <w:rPr>
          <w:rFonts w:cs="Arial"/>
        </w:rPr>
        <w:t>balance of £10.971m</w:t>
      </w:r>
      <w:r w:rsidR="00A4276E">
        <w:rPr>
          <w:rFonts w:cs="Arial"/>
        </w:rPr>
        <w:t>.</w:t>
      </w:r>
      <w:r w:rsidR="00343695">
        <w:rPr>
          <w:rFonts w:cs="Arial"/>
        </w:rPr>
        <w:t xml:space="preserve"> </w:t>
      </w:r>
      <w:r w:rsidR="00E878F7">
        <w:rPr>
          <w:rFonts w:cs="Arial"/>
        </w:rPr>
        <w:t>£</w:t>
      </w:r>
      <w:r w:rsidR="00DD6038">
        <w:rPr>
          <w:rFonts w:cs="Arial"/>
        </w:rPr>
        <w:t>2.351</w:t>
      </w:r>
      <w:r w:rsidR="00CA3AE7">
        <w:rPr>
          <w:rFonts w:cs="Arial"/>
        </w:rPr>
        <w:t>m is forecast to be spent in 2016/17</w:t>
      </w:r>
      <w:r w:rsidR="005A7474">
        <w:rPr>
          <w:rFonts w:cs="Arial"/>
        </w:rPr>
        <w:t>, £</w:t>
      </w:r>
      <w:r w:rsidR="00692A2A">
        <w:rPr>
          <w:rFonts w:cs="Arial"/>
        </w:rPr>
        <w:t>5.1</w:t>
      </w:r>
      <w:r w:rsidR="005A7474">
        <w:rPr>
          <w:rFonts w:cs="Arial"/>
        </w:rPr>
        <w:t>94m is being tran</w:t>
      </w:r>
      <w:r w:rsidR="00095B45">
        <w:rPr>
          <w:rFonts w:cs="Arial"/>
        </w:rPr>
        <w:t>sferred to the Transitional Reserve</w:t>
      </w:r>
      <w:r w:rsidR="00E878F7">
        <w:rPr>
          <w:rFonts w:cs="Arial"/>
        </w:rPr>
        <w:t xml:space="preserve"> and another £</w:t>
      </w:r>
      <w:r w:rsidR="00355458">
        <w:rPr>
          <w:rFonts w:cs="Arial"/>
        </w:rPr>
        <w:t>2.48</w:t>
      </w:r>
      <w:r w:rsidR="00692A2A">
        <w:rPr>
          <w:rFonts w:cs="Arial"/>
        </w:rPr>
        <w:t>6</w:t>
      </w:r>
      <w:r w:rsidR="00CA3AE7">
        <w:rPr>
          <w:rFonts w:cs="Arial"/>
        </w:rPr>
        <w:t xml:space="preserve">m </w:t>
      </w:r>
      <w:r w:rsidR="00095B45">
        <w:rPr>
          <w:rFonts w:cs="Arial"/>
        </w:rPr>
        <w:t xml:space="preserve">is forecast to be spent </w:t>
      </w:r>
      <w:r w:rsidR="00CA3AE7">
        <w:rPr>
          <w:rFonts w:cs="Arial"/>
        </w:rPr>
        <w:t xml:space="preserve">by 2019/20 </w:t>
      </w:r>
      <w:r w:rsidR="009177CF">
        <w:rPr>
          <w:rFonts w:cs="Arial"/>
        </w:rPr>
        <w:t>leav</w:t>
      </w:r>
      <w:r w:rsidR="00CA3AE7">
        <w:rPr>
          <w:rFonts w:cs="Arial"/>
        </w:rPr>
        <w:t>ing</w:t>
      </w:r>
      <w:r w:rsidR="00130793">
        <w:rPr>
          <w:rFonts w:cs="Arial"/>
        </w:rPr>
        <w:t xml:space="preserve"> a balance of £</w:t>
      </w:r>
      <w:r w:rsidR="00172142">
        <w:rPr>
          <w:rFonts w:cs="Arial"/>
        </w:rPr>
        <w:t>0</w:t>
      </w:r>
      <w:r w:rsidR="00FF458E">
        <w:rPr>
          <w:rFonts w:cs="Arial"/>
        </w:rPr>
        <w:t>.</w:t>
      </w:r>
      <w:r w:rsidR="00692A2A">
        <w:rPr>
          <w:rFonts w:cs="Arial"/>
        </w:rPr>
        <w:t>940</w:t>
      </w:r>
      <w:r w:rsidR="00CA3AE7">
        <w:rPr>
          <w:rFonts w:cs="Arial"/>
        </w:rPr>
        <w:t>m</w:t>
      </w:r>
      <w:r w:rsidR="00F52880">
        <w:rPr>
          <w:rFonts w:cs="Arial"/>
        </w:rPr>
        <w:t>.</w:t>
      </w:r>
    </w:p>
    <w:p w14:paraId="201687FA" w14:textId="77777777" w:rsidR="003908B6" w:rsidRDefault="003908B6" w:rsidP="00B60B5D">
      <w:pPr>
        <w:spacing w:after="0"/>
        <w:ind w:right="-24"/>
        <w:rPr>
          <w:rFonts w:cs="Arial"/>
        </w:rPr>
      </w:pPr>
    </w:p>
    <w:p w14:paraId="7DB15634" w14:textId="46B4591B" w:rsidR="00AE0B1C" w:rsidRPr="00C91D57" w:rsidRDefault="00506E45" w:rsidP="00C91D57">
      <w:pPr>
        <w:spacing w:after="0"/>
        <w:ind w:right="-24"/>
        <w:rPr>
          <w:rFonts w:cs="Arial"/>
        </w:rPr>
      </w:pPr>
      <w:r w:rsidRPr="008308E2">
        <w:rPr>
          <w:rFonts w:cs="Arial"/>
        </w:rPr>
        <w:t xml:space="preserve">Details of the commitments </w:t>
      </w:r>
      <w:r>
        <w:rPr>
          <w:rFonts w:cs="Arial"/>
        </w:rPr>
        <w:t>are shown in Annex A.</w:t>
      </w:r>
    </w:p>
    <w:p w14:paraId="7421245E" w14:textId="77777777" w:rsidR="00B466E0" w:rsidRDefault="00B466E0" w:rsidP="00B60B5D">
      <w:pPr>
        <w:spacing w:after="0"/>
        <w:ind w:right="-24"/>
        <w:rPr>
          <w:rFonts w:cs="Arial"/>
          <w:b/>
        </w:rPr>
      </w:pPr>
    </w:p>
    <w:p w14:paraId="1745166F" w14:textId="3CD4AAAA" w:rsidR="008308E2" w:rsidRDefault="00492941" w:rsidP="00B60B5D">
      <w:pPr>
        <w:spacing w:after="0"/>
        <w:ind w:right="-24"/>
        <w:rPr>
          <w:rFonts w:cs="Arial"/>
          <w:b/>
        </w:rPr>
      </w:pPr>
      <w:r>
        <w:rPr>
          <w:rFonts w:cs="Arial"/>
          <w:b/>
        </w:rPr>
        <w:t>2</w:t>
      </w:r>
      <w:r w:rsidR="00A4276E">
        <w:rPr>
          <w:rFonts w:cs="Arial"/>
          <w:b/>
        </w:rPr>
        <w:t>.3</w:t>
      </w:r>
      <w:r w:rsidR="008308E2">
        <w:rPr>
          <w:rFonts w:cs="Arial"/>
          <w:b/>
        </w:rPr>
        <w:tab/>
      </w:r>
      <w:r w:rsidR="008308E2" w:rsidRPr="008308E2">
        <w:rPr>
          <w:rFonts w:cs="Arial"/>
          <w:b/>
        </w:rPr>
        <w:t xml:space="preserve">Reserves held to deliver Organisational Change </w:t>
      </w:r>
    </w:p>
    <w:p w14:paraId="507A5872" w14:textId="77777777" w:rsidR="00A31B9F" w:rsidRPr="008308E2" w:rsidRDefault="00A31B9F" w:rsidP="00B60B5D">
      <w:pPr>
        <w:spacing w:after="0"/>
        <w:ind w:right="-24"/>
        <w:rPr>
          <w:rFonts w:cs="Arial"/>
          <w:b/>
        </w:rPr>
      </w:pPr>
    </w:p>
    <w:p w14:paraId="357BCBFA" w14:textId="77777777" w:rsidR="00B1169D" w:rsidRDefault="008308E2" w:rsidP="00B60B5D">
      <w:pPr>
        <w:spacing w:after="0"/>
        <w:ind w:right="-24"/>
        <w:rPr>
          <w:rFonts w:cs="Arial"/>
        </w:rPr>
      </w:pPr>
      <w:r w:rsidRPr="008308E2">
        <w:rPr>
          <w:rFonts w:cs="Arial"/>
        </w:rPr>
        <w:t>The County</w:t>
      </w:r>
      <w:r w:rsidR="00726AF7">
        <w:rPr>
          <w:rFonts w:cs="Arial"/>
        </w:rPr>
        <w:t xml:space="preserve"> Council</w:t>
      </w:r>
      <w:r w:rsidR="00E65962">
        <w:rPr>
          <w:rFonts w:cs="Arial"/>
        </w:rPr>
        <w:t xml:space="preserve"> currently </w:t>
      </w:r>
      <w:r w:rsidRPr="008308E2">
        <w:rPr>
          <w:rFonts w:cs="Arial"/>
        </w:rPr>
        <w:t>has two reserves to deli</w:t>
      </w:r>
      <w:r w:rsidR="004A5CF8">
        <w:rPr>
          <w:rFonts w:cs="Arial"/>
        </w:rPr>
        <w:t xml:space="preserve">ver organisational change: </w:t>
      </w:r>
      <w:r w:rsidRPr="008308E2">
        <w:rPr>
          <w:rFonts w:cs="Arial"/>
        </w:rPr>
        <w:t xml:space="preserve">the Downsizing Reserve </w:t>
      </w:r>
      <w:r w:rsidR="00C91D57">
        <w:rPr>
          <w:rFonts w:cs="Arial"/>
        </w:rPr>
        <w:t>and the Risk Management Reserve.</w:t>
      </w:r>
    </w:p>
    <w:p w14:paraId="47694C6C" w14:textId="77777777" w:rsidR="001A47C0" w:rsidRDefault="001A47C0" w:rsidP="00B60B5D">
      <w:pPr>
        <w:spacing w:after="0"/>
        <w:ind w:right="-24"/>
        <w:rPr>
          <w:rFonts w:cs="Arial"/>
        </w:rPr>
      </w:pPr>
    </w:p>
    <w:p w14:paraId="747B732D" w14:textId="41D4EC27" w:rsidR="008308E2" w:rsidRPr="00B1169D" w:rsidRDefault="00492941" w:rsidP="00B60B5D">
      <w:pPr>
        <w:spacing w:after="0"/>
        <w:ind w:right="-24"/>
        <w:rPr>
          <w:rFonts w:cs="Arial"/>
        </w:rPr>
      </w:pPr>
      <w:r>
        <w:rPr>
          <w:rFonts w:cs="Arial"/>
          <w:b/>
        </w:rPr>
        <w:t>2</w:t>
      </w:r>
      <w:r w:rsidR="00A4276E">
        <w:rPr>
          <w:rFonts w:cs="Arial"/>
          <w:b/>
        </w:rPr>
        <w:t>.3</w:t>
      </w:r>
      <w:r w:rsidR="00A31B9F" w:rsidRPr="00DF3D74">
        <w:rPr>
          <w:rFonts w:cs="Arial"/>
          <w:b/>
        </w:rPr>
        <w:t>.1</w:t>
      </w:r>
      <w:r w:rsidR="00A31B9F" w:rsidRPr="00DF3D74">
        <w:rPr>
          <w:rFonts w:cs="Arial"/>
          <w:b/>
        </w:rPr>
        <w:tab/>
      </w:r>
      <w:r w:rsidR="008308E2" w:rsidRPr="00DF3D74">
        <w:rPr>
          <w:rFonts w:cs="Arial"/>
          <w:b/>
        </w:rPr>
        <w:t>Downsizing Reserve</w:t>
      </w:r>
    </w:p>
    <w:p w14:paraId="3EFE6871" w14:textId="77777777" w:rsidR="00A31B9F" w:rsidRPr="008308E2" w:rsidRDefault="00A31B9F" w:rsidP="00B60B5D">
      <w:pPr>
        <w:spacing w:after="0"/>
        <w:ind w:right="-24"/>
        <w:rPr>
          <w:rFonts w:cs="Arial"/>
        </w:rPr>
      </w:pPr>
    </w:p>
    <w:p w14:paraId="40F98640" w14:textId="77777777" w:rsidR="00843693" w:rsidRDefault="008308E2" w:rsidP="00B60B5D">
      <w:pPr>
        <w:spacing w:after="0"/>
        <w:ind w:right="-24"/>
        <w:rPr>
          <w:rFonts w:cs="Arial"/>
        </w:rPr>
      </w:pPr>
      <w:r w:rsidRPr="008308E2">
        <w:rPr>
          <w:rFonts w:cs="Arial"/>
        </w:rPr>
        <w:t>The Downsizing Reserve is predomina</w:t>
      </w:r>
      <w:r w:rsidR="00224312">
        <w:rPr>
          <w:rFonts w:cs="Arial"/>
        </w:rPr>
        <w:t>n</w:t>
      </w:r>
      <w:r w:rsidRPr="008308E2">
        <w:rPr>
          <w:rFonts w:cs="Arial"/>
        </w:rPr>
        <w:t xml:space="preserve">tly used to fund voluntary redundancies arising from the reduction </w:t>
      </w:r>
      <w:r w:rsidR="00733980">
        <w:rPr>
          <w:rFonts w:cs="Arial"/>
        </w:rPr>
        <w:t>in the size of the organisation</w:t>
      </w:r>
      <w:r w:rsidR="00AB639B">
        <w:rPr>
          <w:rFonts w:cs="Arial"/>
        </w:rPr>
        <w:t>.</w:t>
      </w:r>
      <w:r w:rsidR="00CE3339">
        <w:rPr>
          <w:rFonts w:cs="Arial"/>
        </w:rPr>
        <w:t xml:space="preserve"> </w:t>
      </w:r>
    </w:p>
    <w:p w14:paraId="3FA01EDD" w14:textId="77777777" w:rsidR="00843693" w:rsidRDefault="00843693" w:rsidP="00B60B5D">
      <w:pPr>
        <w:spacing w:after="0"/>
        <w:ind w:right="-24"/>
        <w:rPr>
          <w:rFonts w:cs="Arial"/>
        </w:rPr>
      </w:pPr>
    </w:p>
    <w:p w14:paraId="1241B6E4" w14:textId="5269BFC7" w:rsidR="001A47C0" w:rsidRDefault="009C4EBA" w:rsidP="00B60B5D">
      <w:pPr>
        <w:spacing w:after="0"/>
        <w:ind w:right="-24"/>
        <w:rPr>
          <w:rFonts w:cs="Arial"/>
        </w:rPr>
      </w:pPr>
      <w:r>
        <w:rPr>
          <w:rFonts w:cs="Arial"/>
        </w:rPr>
        <w:t>On 1</w:t>
      </w:r>
      <w:r w:rsidRPr="009C4EBA">
        <w:rPr>
          <w:rFonts w:cs="Arial"/>
          <w:vertAlign w:val="superscript"/>
        </w:rPr>
        <w:t>st</w:t>
      </w:r>
      <w:r>
        <w:rPr>
          <w:rFonts w:cs="Arial"/>
        </w:rPr>
        <w:t xml:space="preserve"> April 2016 this reserve held a balance of </w:t>
      </w:r>
      <w:r w:rsidR="00A53B8F">
        <w:rPr>
          <w:rFonts w:cs="Arial"/>
        </w:rPr>
        <w:t>£64.841</w:t>
      </w:r>
      <w:r w:rsidR="00843693">
        <w:rPr>
          <w:rFonts w:cs="Arial"/>
        </w:rPr>
        <w:t>m.</w:t>
      </w:r>
      <w:r w:rsidR="00A53B8F">
        <w:rPr>
          <w:rFonts w:cs="Arial"/>
        </w:rPr>
        <w:t xml:space="preserve"> </w:t>
      </w:r>
      <w:r w:rsidR="00843693">
        <w:rPr>
          <w:rFonts w:cs="Arial"/>
        </w:rPr>
        <w:t xml:space="preserve"> </w:t>
      </w:r>
      <w:r w:rsidR="00A53B8F">
        <w:rPr>
          <w:rFonts w:cs="Arial"/>
        </w:rPr>
        <w:t xml:space="preserve">In 2016/17 </w:t>
      </w:r>
      <w:r w:rsidR="003D7BDC">
        <w:rPr>
          <w:rFonts w:cs="Arial"/>
        </w:rPr>
        <w:t>spend against the reserve is forecast to b</w:t>
      </w:r>
      <w:r w:rsidR="00172142">
        <w:rPr>
          <w:rFonts w:cs="Arial"/>
        </w:rPr>
        <w:t xml:space="preserve">e </w:t>
      </w:r>
      <w:r>
        <w:rPr>
          <w:rFonts w:cs="Arial"/>
        </w:rPr>
        <w:t>£14.171m of which £8.210</w:t>
      </w:r>
      <w:r w:rsidR="0029500B">
        <w:rPr>
          <w:rFonts w:cs="Arial"/>
        </w:rPr>
        <w:t>m is</w:t>
      </w:r>
      <w:r w:rsidR="00834ECA">
        <w:rPr>
          <w:rFonts w:cs="Arial"/>
        </w:rPr>
        <w:t xml:space="preserve"> committed for</w:t>
      </w:r>
      <w:r w:rsidR="003D7BDC">
        <w:rPr>
          <w:rFonts w:cs="Arial"/>
        </w:rPr>
        <w:t xml:space="preserve"> </w:t>
      </w:r>
      <w:r w:rsidR="00F066D4">
        <w:rPr>
          <w:rFonts w:cs="Arial"/>
        </w:rPr>
        <w:t>estimated</w:t>
      </w:r>
      <w:r w:rsidR="00834ECA">
        <w:rPr>
          <w:rFonts w:cs="Arial"/>
        </w:rPr>
        <w:t xml:space="preserve"> </w:t>
      </w:r>
      <w:r w:rsidR="00A53B8F">
        <w:rPr>
          <w:rFonts w:cs="Arial"/>
        </w:rPr>
        <w:t>redundancy</w:t>
      </w:r>
      <w:r w:rsidR="00834ECA">
        <w:rPr>
          <w:rFonts w:cs="Arial"/>
        </w:rPr>
        <w:t xml:space="preserve"> costs</w:t>
      </w:r>
      <w:r w:rsidR="00A53B8F">
        <w:rPr>
          <w:rFonts w:cs="Arial"/>
        </w:rPr>
        <w:t>.</w:t>
      </w:r>
      <w:r w:rsidR="00843693">
        <w:rPr>
          <w:rFonts w:cs="Arial"/>
        </w:rPr>
        <w:t xml:space="preserve"> </w:t>
      </w:r>
      <w:r w:rsidR="00343695">
        <w:rPr>
          <w:rFonts w:cs="Arial"/>
        </w:rPr>
        <w:t>In the previous report to Cabinet in December 2016</w:t>
      </w:r>
      <w:r w:rsidR="00692A2A">
        <w:rPr>
          <w:rFonts w:cs="Arial"/>
        </w:rPr>
        <w:t xml:space="preserve"> the profile of </w:t>
      </w:r>
      <w:r w:rsidR="0032743B">
        <w:rPr>
          <w:rFonts w:cs="Arial"/>
        </w:rPr>
        <w:t xml:space="preserve">redundancy payments </w:t>
      </w:r>
      <w:r w:rsidR="00343695">
        <w:rPr>
          <w:rFonts w:cs="Arial"/>
        </w:rPr>
        <w:t>was revised r</w:t>
      </w:r>
      <w:r w:rsidR="00692A2A">
        <w:rPr>
          <w:rFonts w:cs="Arial"/>
        </w:rPr>
        <w:t xml:space="preserve">esulting in </w:t>
      </w:r>
      <w:r w:rsidR="00343695">
        <w:rPr>
          <w:rFonts w:cs="Arial"/>
        </w:rPr>
        <w:t>r</w:t>
      </w:r>
      <w:r w:rsidR="0032743B">
        <w:rPr>
          <w:rFonts w:cs="Arial"/>
        </w:rPr>
        <w:t xml:space="preserve">evised commitment estimates of £12.109m in 2017/18 and £9.060m in 2018/19, resulting in £21.470m being transferred to the Transitional Reserve as it </w:t>
      </w:r>
      <w:r w:rsidR="00343695">
        <w:rPr>
          <w:rFonts w:cs="Arial"/>
        </w:rPr>
        <w:t xml:space="preserve">was </w:t>
      </w:r>
      <w:r w:rsidR="0032743B">
        <w:rPr>
          <w:rFonts w:cs="Arial"/>
        </w:rPr>
        <w:t xml:space="preserve">no longer required. </w:t>
      </w:r>
      <w:r w:rsidR="00692A2A">
        <w:rPr>
          <w:rFonts w:cs="Arial"/>
        </w:rPr>
        <w:t xml:space="preserve"> </w:t>
      </w:r>
    </w:p>
    <w:p w14:paraId="1536CBED" w14:textId="77777777" w:rsidR="001A47C0" w:rsidRDefault="001A47C0" w:rsidP="00B60B5D">
      <w:pPr>
        <w:spacing w:after="0"/>
        <w:ind w:right="-24"/>
        <w:rPr>
          <w:rFonts w:cs="Arial"/>
        </w:rPr>
      </w:pPr>
    </w:p>
    <w:p w14:paraId="7CCCE769" w14:textId="3831813F" w:rsidR="00FA2130" w:rsidRDefault="001A47C0" w:rsidP="00B60B5D">
      <w:pPr>
        <w:spacing w:after="0"/>
        <w:ind w:right="-24"/>
        <w:rPr>
          <w:rFonts w:cs="Arial"/>
        </w:rPr>
      </w:pPr>
      <w:r>
        <w:rPr>
          <w:rFonts w:cs="Arial"/>
        </w:rPr>
        <w:t>In addition, as part of the review of this reserve a</w:t>
      </w:r>
      <w:r w:rsidR="0032743B">
        <w:rPr>
          <w:rFonts w:cs="Arial"/>
        </w:rPr>
        <w:t xml:space="preserve"> further</w:t>
      </w:r>
      <w:r w:rsidR="00834ECA">
        <w:rPr>
          <w:rFonts w:cs="Arial"/>
        </w:rPr>
        <w:t xml:space="preserve"> </w:t>
      </w:r>
      <w:r>
        <w:rPr>
          <w:rFonts w:cs="Arial"/>
        </w:rPr>
        <w:t xml:space="preserve">uncommitted </w:t>
      </w:r>
      <w:r w:rsidR="00834ECA">
        <w:rPr>
          <w:rFonts w:cs="Arial"/>
        </w:rPr>
        <w:t xml:space="preserve">amount of </w:t>
      </w:r>
      <w:r w:rsidR="00095B45">
        <w:rPr>
          <w:rFonts w:cs="Arial"/>
        </w:rPr>
        <w:t>£</w:t>
      </w:r>
      <w:r w:rsidR="009C4EBA">
        <w:rPr>
          <w:rFonts w:cs="Arial"/>
        </w:rPr>
        <w:t>6.992</w:t>
      </w:r>
      <w:r w:rsidR="00095B45">
        <w:rPr>
          <w:rFonts w:cs="Arial"/>
        </w:rPr>
        <w:t xml:space="preserve">m </w:t>
      </w:r>
      <w:r>
        <w:rPr>
          <w:rFonts w:cs="Arial"/>
        </w:rPr>
        <w:t xml:space="preserve">has been </w:t>
      </w:r>
      <w:r w:rsidR="00095B45">
        <w:rPr>
          <w:rFonts w:cs="Arial"/>
        </w:rPr>
        <w:t>transferred to the Transitional Reserve</w:t>
      </w:r>
      <w:r w:rsidR="009A5DE2">
        <w:rPr>
          <w:rFonts w:cs="Arial"/>
        </w:rPr>
        <w:t>, with an additional £0.400m transferred to into the Downsizing Reserve. Expenditure of £</w:t>
      </w:r>
      <w:r w:rsidR="006878FF">
        <w:rPr>
          <w:rFonts w:cs="Arial"/>
        </w:rPr>
        <w:t>1.</w:t>
      </w:r>
      <w:r w:rsidR="009A5DE2">
        <w:rPr>
          <w:rFonts w:cs="Arial"/>
        </w:rPr>
        <w:t>4</w:t>
      </w:r>
      <w:r w:rsidR="006878FF">
        <w:rPr>
          <w:rFonts w:cs="Arial"/>
        </w:rPr>
        <w:t xml:space="preserve">39m is forecast to </w:t>
      </w:r>
      <w:r w:rsidR="00355458">
        <w:rPr>
          <w:rFonts w:cs="Arial"/>
        </w:rPr>
        <w:t>be spent in 2017/18</w:t>
      </w:r>
      <w:r w:rsidR="005B50C0">
        <w:rPr>
          <w:rFonts w:cs="Arial"/>
        </w:rPr>
        <w:t xml:space="preserve"> leaving a nil</w:t>
      </w:r>
      <w:r w:rsidR="006878FF">
        <w:rPr>
          <w:rFonts w:cs="Arial"/>
        </w:rPr>
        <w:t xml:space="preserve"> balance on the reserve.</w:t>
      </w:r>
    </w:p>
    <w:p w14:paraId="5BD6B342" w14:textId="77777777" w:rsidR="00CE3339" w:rsidRDefault="00CE3339" w:rsidP="00B60B5D">
      <w:pPr>
        <w:spacing w:after="0"/>
        <w:ind w:right="-24"/>
        <w:rPr>
          <w:rFonts w:cs="Arial"/>
        </w:rPr>
      </w:pPr>
    </w:p>
    <w:p w14:paraId="56A7DE97" w14:textId="77777777" w:rsidR="00CE3339" w:rsidRDefault="00843693" w:rsidP="00B60B5D">
      <w:pPr>
        <w:spacing w:after="0"/>
        <w:ind w:right="-24"/>
        <w:rPr>
          <w:rFonts w:cs="Arial"/>
        </w:rPr>
      </w:pPr>
      <w:r>
        <w:rPr>
          <w:rFonts w:cs="Arial"/>
        </w:rPr>
        <w:t>Details of the commitments are shown in Annex B.</w:t>
      </w:r>
    </w:p>
    <w:p w14:paraId="01132B1D" w14:textId="77777777" w:rsidR="000C390F" w:rsidRDefault="000C390F" w:rsidP="00B60B5D">
      <w:pPr>
        <w:spacing w:after="0"/>
        <w:ind w:right="-24"/>
        <w:rPr>
          <w:rFonts w:cs="Arial"/>
        </w:rPr>
      </w:pPr>
    </w:p>
    <w:p w14:paraId="5769AC5C" w14:textId="2CEF5CEF" w:rsidR="008308E2" w:rsidRPr="00DF3D74" w:rsidRDefault="00492941" w:rsidP="00B60B5D">
      <w:pPr>
        <w:spacing w:after="0"/>
        <w:ind w:right="-24"/>
        <w:rPr>
          <w:rFonts w:cs="Arial"/>
          <w:b/>
        </w:rPr>
      </w:pPr>
      <w:r>
        <w:rPr>
          <w:rFonts w:cs="Arial"/>
          <w:b/>
        </w:rPr>
        <w:t>2</w:t>
      </w:r>
      <w:r w:rsidR="00A4276E">
        <w:rPr>
          <w:rFonts w:cs="Arial"/>
          <w:b/>
        </w:rPr>
        <w:t>.3</w:t>
      </w:r>
      <w:r w:rsidR="008308E2" w:rsidRPr="00DF3D74">
        <w:rPr>
          <w:rFonts w:cs="Arial"/>
          <w:b/>
        </w:rPr>
        <w:t>.2</w:t>
      </w:r>
      <w:r w:rsidR="00A31B9F" w:rsidRPr="00DF3D74">
        <w:rPr>
          <w:rFonts w:cs="Arial"/>
          <w:b/>
        </w:rPr>
        <w:tab/>
      </w:r>
      <w:r w:rsidR="008308E2" w:rsidRPr="00DF3D74">
        <w:rPr>
          <w:rFonts w:cs="Arial"/>
          <w:b/>
        </w:rPr>
        <w:t>Risk Management Reserve</w:t>
      </w:r>
    </w:p>
    <w:p w14:paraId="0C062170" w14:textId="77777777" w:rsidR="00A31B9F" w:rsidRPr="008308E2" w:rsidRDefault="00A31B9F" w:rsidP="00B60B5D">
      <w:pPr>
        <w:spacing w:after="0"/>
        <w:ind w:right="-24"/>
        <w:rPr>
          <w:rFonts w:cs="Arial"/>
        </w:rPr>
      </w:pPr>
    </w:p>
    <w:p w14:paraId="623D86B9" w14:textId="77777777" w:rsidR="00843693" w:rsidRDefault="008308E2" w:rsidP="00B60B5D">
      <w:pPr>
        <w:spacing w:after="0"/>
        <w:ind w:right="-24"/>
        <w:rPr>
          <w:rFonts w:cs="Arial"/>
        </w:rPr>
      </w:pPr>
      <w:r w:rsidRPr="003332FC">
        <w:rPr>
          <w:rFonts w:cs="Arial"/>
        </w:rPr>
        <w:t xml:space="preserve">The Risk Management Reserve was </w:t>
      </w:r>
      <w:r w:rsidR="00E40C1B" w:rsidRPr="003332FC">
        <w:rPr>
          <w:rFonts w:cs="Arial"/>
        </w:rPr>
        <w:t>created</w:t>
      </w:r>
      <w:r w:rsidRPr="003332FC">
        <w:rPr>
          <w:rFonts w:cs="Arial"/>
        </w:rPr>
        <w:t xml:space="preserve"> as a result of extr</w:t>
      </w:r>
      <w:r w:rsidR="00224312" w:rsidRPr="003332FC">
        <w:rPr>
          <w:rFonts w:cs="Arial"/>
        </w:rPr>
        <w:t>a</w:t>
      </w:r>
      <w:r w:rsidR="005C2638" w:rsidRPr="003332FC">
        <w:rPr>
          <w:rFonts w:cs="Arial"/>
        </w:rPr>
        <w:t>ordinary Treasury Management p</w:t>
      </w:r>
      <w:r w:rsidRPr="003332FC">
        <w:rPr>
          <w:rFonts w:cs="Arial"/>
        </w:rPr>
        <w:t>erformance during 2014/15</w:t>
      </w:r>
      <w:r w:rsidR="00A53AE1" w:rsidRPr="003332FC">
        <w:rPr>
          <w:rFonts w:cs="Arial"/>
        </w:rPr>
        <w:t xml:space="preserve"> and previous years</w:t>
      </w:r>
      <w:r w:rsidRPr="003332FC">
        <w:rPr>
          <w:rFonts w:cs="Arial"/>
        </w:rPr>
        <w:t>.  This reserve is available to help the authority manage risks to funding and service delivery going forward.</w:t>
      </w:r>
      <w:r w:rsidR="00EC5799" w:rsidRPr="003332FC">
        <w:rPr>
          <w:rFonts w:cs="Arial"/>
        </w:rPr>
        <w:t xml:space="preserve">  </w:t>
      </w:r>
    </w:p>
    <w:p w14:paraId="6D665A85" w14:textId="77777777" w:rsidR="00843693" w:rsidRDefault="00843693" w:rsidP="00B60B5D">
      <w:pPr>
        <w:spacing w:after="0"/>
        <w:ind w:right="-24"/>
        <w:rPr>
          <w:rFonts w:cs="Arial"/>
        </w:rPr>
      </w:pPr>
    </w:p>
    <w:p w14:paraId="0AAB8F10" w14:textId="2902CA28" w:rsidR="00EE0DDA" w:rsidRDefault="00D23F0F" w:rsidP="00B60B5D">
      <w:pPr>
        <w:spacing w:after="0"/>
        <w:ind w:right="-24"/>
        <w:rPr>
          <w:rFonts w:cs="Arial"/>
        </w:rPr>
      </w:pPr>
      <w:r w:rsidRPr="003332FC">
        <w:rPr>
          <w:rFonts w:cs="Arial"/>
        </w:rPr>
        <w:lastRenderedPageBreak/>
        <w:t xml:space="preserve">This reserve </w:t>
      </w:r>
      <w:r w:rsidR="00355458">
        <w:rPr>
          <w:rFonts w:cs="Arial"/>
        </w:rPr>
        <w:t>had a</w:t>
      </w:r>
      <w:r w:rsidR="00843693">
        <w:rPr>
          <w:rFonts w:cs="Arial"/>
        </w:rPr>
        <w:t xml:space="preserve"> balance of £</w:t>
      </w:r>
      <w:r w:rsidR="00D61866">
        <w:rPr>
          <w:rFonts w:cs="Arial"/>
        </w:rPr>
        <w:t>15.784</w:t>
      </w:r>
      <w:r w:rsidR="00282A88">
        <w:rPr>
          <w:rFonts w:cs="Arial"/>
        </w:rPr>
        <w:t>m</w:t>
      </w:r>
      <w:r w:rsidR="00834ECA">
        <w:rPr>
          <w:rFonts w:cs="Arial"/>
        </w:rPr>
        <w:t xml:space="preserve"> on 1</w:t>
      </w:r>
      <w:r w:rsidR="00834ECA" w:rsidRPr="00834ECA">
        <w:rPr>
          <w:rFonts w:cs="Arial"/>
          <w:vertAlign w:val="superscript"/>
        </w:rPr>
        <w:t>st</w:t>
      </w:r>
      <w:r w:rsidR="00834ECA">
        <w:rPr>
          <w:rFonts w:cs="Arial"/>
        </w:rPr>
        <w:t xml:space="preserve"> April 2016</w:t>
      </w:r>
      <w:r w:rsidR="00282A88">
        <w:rPr>
          <w:rFonts w:cs="Arial"/>
        </w:rPr>
        <w:t xml:space="preserve">. It is </w:t>
      </w:r>
      <w:r w:rsidR="00834ECA">
        <w:rPr>
          <w:rFonts w:cs="Arial"/>
        </w:rPr>
        <w:t>forecast</w:t>
      </w:r>
      <w:r w:rsidR="00282A88">
        <w:rPr>
          <w:rFonts w:cs="Arial"/>
        </w:rPr>
        <w:t xml:space="preserve"> that </w:t>
      </w:r>
      <w:r w:rsidR="005D0F87">
        <w:rPr>
          <w:rFonts w:cs="Arial"/>
        </w:rPr>
        <w:t>£</w:t>
      </w:r>
      <w:r w:rsidR="003C07E2">
        <w:rPr>
          <w:rFonts w:cs="Arial"/>
        </w:rPr>
        <w:t>3.155</w:t>
      </w:r>
      <w:r w:rsidR="00D61866">
        <w:rPr>
          <w:rFonts w:cs="Arial"/>
        </w:rPr>
        <w:t xml:space="preserve">m </w:t>
      </w:r>
      <w:r w:rsidR="00834ECA">
        <w:rPr>
          <w:rFonts w:cs="Arial"/>
        </w:rPr>
        <w:t xml:space="preserve">will </w:t>
      </w:r>
      <w:r w:rsidR="00D61866">
        <w:rPr>
          <w:rFonts w:cs="Arial"/>
        </w:rPr>
        <w:t>be spent in 2016/17</w:t>
      </w:r>
      <w:r w:rsidR="0032743B">
        <w:rPr>
          <w:rFonts w:cs="Arial"/>
        </w:rPr>
        <w:t xml:space="preserve"> in addition to £4.872</w:t>
      </w:r>
      <w:r w:rsidR="00FF458E">
        <w:rPr>
          <w:rFonts w:cs="Arial"/>
        </w:rPr>
        <w:t xml:space="preserve">m uncommitted reserves transferring to the </w:t>
      </w:r>
      <w:r w:rsidR="0032743B">
        <w:rPr>
          <w:rFonts w:cs="Arial"/>
        </w:rPr>
        <w:t>Transitional R</w:t>
      </w:r>
      <w:r w:rsidR="00FF458E">
        <w:rPr>
          <w:rFonts w:cs="Arial"/>
        </w:rPr>
        <w:t>eserve. It is forecast that a further</w:t>
      </w:r>
      <w:r w:rsidR="00D61866">
        <w:rPr>
          <w:rFonts w:cs="Arial"/>
        </w:rPr>
        <w:t xml:space="preserve"> £</w:t>
      </w:r>
      <w:r w:rsidR="003C07E2">
        <w:rPr>
          <w:rFonts w:cs="Arial"/>
        </w:rPr>
        <w:t>7.757</w:t>
      </w:r>
      <w:r w:rsidR="00D61866">
        <w:rPr>
          <w:rFonts w:cs="Arial"/>
        </w:rPr>
        <w:t xml:space="preserve">m </w:t>
      </w:r>
      <w:r w:rsidR="00FF458E">
        <w:rPr>
          <w:rFonts w:cs="Arial"/>
        </w:rPr>
        <w:t xml:space="preserve">is committed </w:t>
      </w:r>
      <w:r w:rsidR="00D61866">
        <w:rPr>
          <w:rFonts w:cs="Arial"/>
        </w:rPr>
        <w:t>in</w:t>
      </w:r>
      <w:r w:rsidR="007678E5">
        <w:rPr>
          <w:rFonts w:cs="Arial"/>
        </w:rPr>
        <w:t xml:space="preserve"> 2017/18 leaving a </w:t>
      </w:r>
      <w:r w:rsidR="00DD6038">
        <w:rPr>
          <w:rFonts w:cs="Arial"/>
        </w:rPr>
        <w:t xml:space="preserve">nil </w:t>
      </w:r>
      <w:r w:rsidR="007678E5">
        <w:rPr>
          <w:rFonts w:cs="Arial"/>
        </w:rPr>
        <w:t xml:space="preserve">balance </w:t>
      </w:r>
      <w:r w:rsidR="00DD6038">
        <w:rPr>
          <w:rFonts w:cs="Arial"/>
        </w:rPr>
        <w:t xml:space="preserve">at the </w:t>
      </w:r>
      <w:r w:rsidR="00D61866">
        <w:rPr>
          <w:rFonts w:cs="Arial"/>
        </w:rPr>
        <w:t>end of 2019/20</w:t>
      </w:r>
      <w:r w:rsidR="005D0F87">
        <w:rPr>
          <w:rFonts w:cs="Arial"/>
        </w:rPr>
        <w:t>.</w:t>
      </w:r>
    </w:p>
    <w:p w14:paraId="729C1E45" w14:textId="77777777" w:rsidR="00282A88" w:rsidRDefault="00282A88" w:rsidP="00B60B5D">
      <w:pPr>
        <w:spacing w:after="0"/>
        <w:ind w:right="-24"/>
        <w:rPr>
          <w:rFonts w:cs="Arial"/>
        </w:rPr>
      </w:pPr>
    </w:p>
    <w:p w14:paraId="725C9358" w14:textId="77777777" w:rsidR="001F36B4" w:rsidRDefault="008308E2" w:rsidP="00B60B5D">
      <w:pPr>
        <w:spacing w:after="0"/>
        <w:ind w:right="-24"/>
        <w:rPr>
          <w:rFonts w:cs="Arial"/>
        </w:rPr>
      </w:pPr>
      <w:r w:rsidRPr="008308E2">
        <w:rPr>
          <w:rFonts w:cs="Arial"/>
        </w:rPr>
        <w:t>Details of the commitments are shown in Annex B</w:t>
      </w:r>
      <w:r w:rsidR="00535451">
        <w:rPr>
          <w:rFonts w:cs="Arial"/>
        </w:rPr>
        <w:t>.</w:t>
      </w:r>
    </w:p>
    <w:p w14:paraId="555A359A" w14:textId="77777777" w:rsidR="009C2DEC" w:rsidRDefault="009C2DEC" w:rsidP="00B22109">
      <w:pPr>
        <w:spacing w:after="0"/>
        <w:ind w:right="-24"/>
        <w:rPr>
          <w:rFonts w:cs="Arial"/>
          <w:b/>
        </w:rPr>
      </w:pPr>
    </w:p>
    <w:p w14:paraId="26610A85" w14:textId="585E4441" w:rsidR="00B22109" w:rsidRPr="00325737" w:rsidRDefault="00492941" w:rsidP="00B22109">
      <w:pPr>
        <w:spacing w:after="0"/>
        <w:ind w:right="-24"/>
        <w:rPr>
          <w:rFonts w:cs="Arial"/>
          <w:b/>
        </w:rPr>
      </w:pPr>
      <w:r>
        <w:rPr>
          <w:rFonts w:cs="Arial"/>
          <w:b/>
        </w:rPr>
        <w:t>2</w:t>
      </w:r>
      <w:r w:rsidR="00B22109">
        <w:rPr>
          <w:rFonts w:cs="Arial"/>
          <w:b/>
        </w:rPr>
        <w:t>.4</w:t>
      </w:r>
      <w:r w:rsidR="00B22109" w:rsidRPr="00325737">
        <w:rPr>
          <w:rFonts w:cs="Arial"/>
          <w:b/>
        </w:rPr>
        <w:t xml:space="preserve"> Transitional Reserve </w:t>
      </w:r>
    </w:p>
    <w:p w14:paraId="73DD67C1" w14:textId="77777777" w:rsidR="00B22109" w:rsidRDefault="00B22109" w:rsidP="00B22109">
      <w:pPr>
        <w:spacing w:after="0"/>
        <w:ind w:right="-24"/>
        <w:rPr>
          <w:rFonts w:cs="Arial"/>
        </w:rPr>
      </w:pPr>
    </w:p>
    <w:p w14:paraId="09E347A3" w14:textId="0C71A1E6" w:rsidR="00B22109" w:rsidRPr="00D421CC" w:rsidRDefault="00B22109" w:rsidP="00B22109">
      <w:pPr>
        <w:spacing w:after="0"/>
        <w:ind w:right="-24"/>
        <w:rPr>
          <w:rFonts w:cs="Arial"/>
          <w:highlight w:val="yellow"/>
        </w:rPr>
      </w:pPr>
      <w:r w:rsidRPr="00C33A0F">
        <w:rPr>
          <w:rFonts w:cs="Arial"/>
        </w:rPr>
        <w:t>The plans announced at 26</w:t>
      </w:r>
      <w:r w:rsidRPr="00C33A0F">
        <w:rPr>
          <w:rFonts w:cs="Arial"/>
          <w:vertAlign w:val="superscript"/>
        </w:rPr>
        <w:t>th</w:t>
      </w:r>
      <w:r w:rsidRPr="00C33A0F">
        <w:rPr>
          <w:rFonts w:cs="Arial"/>
        </w:rPr>
        <w:t xml:space="preserve"> November Cabinet for the period 1</w:t>
      </w:r>
      <w:r w:rsidRPr="00C33A0F">
        <w:rPr>
          <w:rFonts w:cs="Arial"/>
          <w:vertAlign w:val="superscript"/>
        </w:rPr>
        <w:t>st</w:t>
      </w:r>
      <w:r w:rsidRPr="00C33A0F">
        <w:rPr>
          <w:rFonts w:cs="Arial"/>
        </w:rPr>
        <w:t xml:space="preserve"> April 2016 until 31</w:t>
      </w:r>
      <w:r w:rsidRPr="00C33A0F">
        <w:rPr>
          <w:rFonts w:cs="Arial"/>
          <w:vertAlign w:val="superscript"/>
        </w:rPr>
        <w:t>st</w:t>
      </w:r>
      <w:r w:rsidRPr="00C33A0F">
        <w:rPr>
          <w:rFonts w:cs="Arial"/>
        </w:rPr>
        <w:t xml:space="preserve"> March 2018 are heavily supported by reserves.  A Transitional Reserve has been created to provide a source of funding for these plans and the balance at the 1</w:t>
      </w:r>
      <w:r w:rsidRPr="00C33A0F">
        <w:rPr>
          <w:rFonts w:cs="Arial"/>
          <w:vertAlign w:val="superscript"/>
        </w:rPr>
        <w:t>st</w:t>
      </w:r>
      <w:r w:rsidR="00FE38FF" w:rsidRPr="00C33A0F">
        <w:rPr>
          <w:rFonts w:cs="Arial"/>
        </w:rPr>
        <w:t xml:space="preserve"> April 2016 was £141.83</w:t>
      </w:r>
      <w:r w:rsidR="00834ECA" w:rsidRPr="00C33A0F">
        <w:rPr>
          <w:rFonts w:cs="Arial"/>
        </w:rPr>
        <w:t>7</w:t>
      </w:r>
      <w:r w:rsidR="00FE38FF" w:rsidRPr="00C33A0F">
        <w:rPr>
          <w:rFonts w:cs="Arial"/>
        </w:rPr>
        <w:t xml:space="preserve">m. </w:t>
      </w:r>
      <w:r w:rsidRPr="00C33A0F">
        <w:rPr>
          <w:rFonts w:cs="Arial"/>
        </w:rPr>
        <w:t>Cabinet plans h</w:t>
      </w:r>
      <w:r w:rsidR="00D866AD" w:rsidRPr="00C33A0F">
        <w:rPr>
          <w:rFonts w:cs="Arial"/>
        </w:rPr>
        <w:t>ave specifically identified £1</w:t>
      </w:r>
      <w:r w:rsidR="00C33A0F" w:rsidRPr="00C33A0F">
        <w:rPr>
          <w:rFonts w:cs="Arial"/>
        </w:rPr>
        <w:t>3</w:t>
      </w:r>
      <w:r w:rsidR="00343695">
        <w:rPr>
          <w:rFonts w:cs="Arial"/>
        </w:rPr>
        <w:t>4.519</w:t>
      </w:r>
      <w:r w:rsidR="00B527A5" w:rsidRPr="00C33A0F">
        <w:rPr>
          <w:rFonts w:cs="Arial"/>
        </w:rPr>
        <w:t>m</w:t>
      </w:r>
      <w:r w:rsidRPr="00C33A0F">
        <w:rPr>
          <w:rFonts w:cs="Arial"/>
        </w:rPr>
        <w:t xml:space="preserve"> use of reserves du</w:t>
      </w:r>
      <w:r w:rsidR="00FE38FF" w:rsidRPr="00C33A0F">
        <w:rPr>
          <w:rFonts w:cs="Arial"/>
        </w:rPr>
        <w:t>ring the period which includes the</w:t>
      </w:r>
      <w:r w:rsidRPr="00C33A0F">
        <w:rPr>
          <w:rFonts w:cs="Arial"/>
        </w:rPr>
        <w:t xml:space="preserve"> funding gap identified in the Medium Term Financial Strategy (MTFS) for </w:t>
      </w:r>
      <w:r w:rsidR="00D866AD" w:rsidRPr="00C33A0F">
        <w:rPr>
          <w:rFonts w:cs="Arial"/>
        </w:rPr>
        <w:t>2016/17 and 2017/18 of £</w:t>
      </w:r>
      <w:r w:rsidR="00343695">
        <w:rPr>
          <w:rFonts w:cs="Arial"/>
        </w:rPr>
        <w:t>72.331</w:t>
      </w:r>
      <w:r w:rsidRPr="00C33A0F">
        <w:rPr>
          <w:rFonts w:cs="Arial"/>
        </w:rPr>
        <w:t xml:space="preserve">m.  </w:t>
      </w:r>
      <w:r w:rsidR="00132EBB" w:rsidRPr="00C33A0F">
        <w:rPr>
          <w:rFonts w:cs="Arial"/>
        </w:rPr>
        <w:t>A</w:t>
      </w:r>
      <w:r w:rsidRPr="00C33A0F">
        <w:rPr>
          <w:rFonts w:cs="Arial"/>
        </w:rPr>
        <w:t xml:space="preserve">dditional </w:t>
      </w:r>
      <w:r w:rsidR="00FE52E2" w:rsidRPr="00C33A0F">
        <w:rPr>
          <w:rFonts w:cs="Arial"/>
        </w:rPr>
        <w:t xml:space="preserve">net </w:t>
      </w:r>
      <w:r w:rsidRPr="00C33A0F">
        <w:rPr>
          <w:rFonts w:cs="Arial"/>
        </w:rPr>
        <w:t xml:space="preserve">transfers in from other reserves and </w:t>
      </w:r>
      <w:r w:rsidR="009C2DEC" w:rsidRPr="00C33A0F">
        <w:rPr>
          <w:rFonts w:cs="Arial"/>
        </w:rPr>
        <w:t>transfer in of</w:t>
      </w:r>
      <w:r w:rsidRPr="00C33A0F">
        <w:rPr>
          <w:rFonts w:cs="Arial"/>
        </w:rPr>
        <w:t xml:space="preserve"> surplus balances on the 2015/16 </w:t>
      </w:r>
      <w:r w:rsidR="009C2DEC" w:rsidRPr="00C33A0F">
        <w:rPr>
          <w:rFonts w:cs="Arial"/>
        </w:rPr>
        <w:t xml:space="preserve">council tax, </w:t>
      </w:r>
      <w:r w:rsidR="00141A2C" w:rsidRPr="00C33A0F">
        <w:rPr>
          <w:rFonts w:cs="Arial"/>
        </w:rPr>
        <w:t>business rates, new</w:t>
      </w:r>
      <w:r w:rsidR="009C2DEC" w:rsidRPr="00C33A0F">
        <w:rPr>
          <w:rFonts w:cs="Arial"/>
        </w:rPr>
        <w:t xml:space="preserve"> homes</w:t>
      </w:r>
      <w:r w:rsidR="005451B7">
        <w:rPr>
          <w:rFonts w:cs="Arial"/>
        </w:rPr>
        <w:t xml:space="preserve"> bonus</w:t>
      </w:r>
      <w:r w:rsidR="00B108D4" w:rsidRPr="00C33A0F">
        <w:rPr>
          <w:rFonts w:cs="Arial"/>
        </w:rPr>
        <w:t xml:space="preserve">, </w:t>
      </w:r>
      <w:r w:rsidR="00B32803" w:rsidRPr="00C33A0F">
        <w:rPr>
          <w:rFonts w:cs="Arial"/>
        </w:rPr>
        <w:t xml:space="preserve">a Clayton Park Conference centre saving, </w:t>
      </w:r>
      <w:r w:rsidR="00B108D4" w:rsidRPr="00C33A0F">
        <w:rPr>
          <w:rFonts w:cs="Arial"/>
        </w:rPr>
        <w:t>a Prevention and Early Help underspend</w:t>
      </w:r>
      <w:r w:rsidR="009C2DEC" w:rsidRPr="00C33A0F">
        <w:rPr>
          <w:rFonts w:cs="Arial"/>
        </w:rPr>
        <w:t xml:space="preserve"> </w:t>
      </w:r>
      <w:r w:rsidR="00141A2C" w:rsidRPr="00C33A0F">
        <w:rPr>
          <w:rFonts w:cs="Arial"/>
        </w:rPr>
        <w:t>and a VAT repayment this totals</w:t>
      </w:r>
      <w:r w:rsidR="0061603E" w:rsidRPr="00C33A0F">
        <w:rPr>
          <w:rFonts w:cs="Arial"/>
        </w:rPr>
        <w:t xml:space="preserve"> £</w:t>
      </w:r>
      <w:r w:rsidR="00141A2C" w:rsidRPr="00C33A0F">
        <w:rPr>
          <w:rFonts w:cs="Arial"/>
        </w:rPr>
        <w:t>5</w:t>
      </w:r>
      <w:r w:rsidR="009A5DE2">
        <w:rPr>
          <w:rFonts w:cs="Arial"/>
        </w:rPr>
        <w:t>4.712</w:t>
      </w:r>
      <w:r w:rsidR="009C2DEC" w:rsidRPr="00C33A0F">
        <w:rPr>
          <w:rFonts w:cs="Arial"/>
        </w:rPr>
        <w:t>m</w:t>
      </w:r>
      <w:r w:rsidR="00BB3841" w:rsidRPr="00C33A0F">
        <w:rPr>
          <w:rFonts w:cs="Arial"/>
        </w:rPr>
        <w:t xml:space="preserve">.  </w:t>
      </w:r>
      <w:r w:rsidR="00343695">
        <w:rPr>
          <w:rFonts w:cs="Arial"/>
        </w:rPr>
        <w:t>T</w:t>
      </w:r>
      <w:r w:rsidR="009C2DEC" w:rsidRPr="00C33A0F">
        <w:rPr>
          <w:rFonts w:cs="Arial"/>
        </w:rPr>
        <w:t>he forecast balance on the reserve at the end of 2019/20 is</w:t>
      </w:r>
      <w:r w:rsidR="00FE38FF" w:rsidRPr="00C33A0F">
        <w:rPr>
          <w:rFonts w:cs="Arial"/>
        </w:rPr>
        <w:t xml:space="preserve"> a surplus of £</w:t>
      </w:r>
      <w:r w:rsidR="00C33A0F" w:rsidRPr="00C33A0F">
        <w:rPr>
          <w:rFonts w:cs="Arial"/>
        </w:rPr>
        <w:t>6</w:t>
      </w:r>
      <w:r w:rsidR="009A5DE2">
        <w:rPr>
          <w:rFonts w:cs="Arial"/>
        </w:rPr>
        <w:t>2.0</w:t>
      </w:r>
      <w:r w:rsidR="00F023BE">
        <w:rPr>
          <w:rFonts w:cs="Arial"/>
        </w:rPr>
        <w:t>3</w:t>
      </w:r>
      <w:r w:rsidR="00343695">
        <w:rPr>
          <w:rFonts w:cs="Arial"/>
        </w:rPr>
        <w:t>1</w:t>
      </w:r>
      <w:r w:rsidR="009C2DEC" w:rsidRPr="00C33A0F">
        <w:rPr>
          <w:rFonts w:cs="Arial"/>
        </w:rPr>
        <w:t>m.</w:t>
      </w:r>
      <w:r w:rsidR="005451B7">
        <w:rPr>
          <w:rFonts w:cs="Arial"/>
        </w:rPr>
        <w:t xml:space="preserve"> However this will not be available if the balance is utilised in 2018/19 to support the revenue budget gap. </w:t>
      </w:r>
    </w:p>
    <w:p w14:paraId="6F3FF97A" w14:textId="77777777" w:rsidR="00B22109" w:rsidRPr="00C33A0F" w:rsidRDefault="00B22109" w:rsidP="00B22109">
      <w:pPr>
        <w:spacing w:after="0"/>
        <w:ind w:right="-24"/>
        <w:rPr>
          <w:rFonts w:cs="Arial"/>
        </w:rPr>
      </w:pPr>
    </w:p>
    <w:p w14:paraId="7382C787" w14:textId="281665FC" w:rsidR="00FF458E" w:rsidRDefault="009C2DEC" w:rsidP="009C2DEC">
      <w:pPr>
        <w:spacing w:after="0"/>
        <w:ind w:right="-24"/>
        <w:rPr>
          <w:rFonts w:cs="Arial"/>
        </w:rPr>
      </w:pPr>
      <w:r w:rsidRPr="00C33A0F">
        <w:rPr>
          <w:rFonts w:cs="Arial"/>
        </w:rPr>
        <w:t>Details of the c</w:t>
      </w:r>
      <w:r w:rsidR="00FF458E" w:rsidRPr="00C33A0F">
        <w:rPr>
          <w:rFonts w:cs="Arial"/>
        </w:rPr>
        <w:t>ommitments are shown in Annex C.</w:t>
      </w:r>
    </w:p>
    <w:p w14:paraId="3B906694" w14:textId="77777777" w:rsidR="00F066D4" w:rsidRDefault="00F066D4" w:rsidP="009C2DEC">
      <w:pPr>
        <w:spacing w:after="0"/>
        <w:ind w:right="-24"/>
        <w:rPr>
          <w:rFonts w:cs="Arial"/>
        </w:rPr>
      </w:pPr>
    </w:p>
    <w:p w14:paraId="00959FD8" w14:textId="06F3C4C7" w:rsidR="006F2DE0" w:rsidRDefault="00492941" w:rsidP="009C2DEC">
      <w:pPr>
        <w:spacing w:after="0"/>
        <w:ind w:right="-24"/>
        <w:rPr>
          <w:rFonts w:cs="Arial"/>
          <w:b/>
        </w:rPr>
      </w:pPr>
      <w:r>
        <w:rPr>
          <w:rFonts w:cs="Arial"/>
          <w:b/>
        </w:rPr>
        <w:t>2</w:t>
      </w:r>
      <w:r w:rsidR="006F2DE0" w:rsidRPr="006F2DE0">
        <w:rPr>
          <w:rFonts w:cs="Arial"/>
          <w:b/>
        </w:rPr>
        <w:t>.4.1 Reserve to facilitate the transition of services</w:t>
      </w:r>
    </w:p>
    <w:p w14:paraId="393ACAD8" w14:textId="77777777" w:rsidR="006F2DE0" w:rsidRDefault="006F2DE0" w:rsidP="009C2DEC">
      <w:pPr>
        <w:spacing w:after="0"/>
        <w:ind w:right="-24"/>
        <w:rPr>
          <w:rFonts w:cs="Arial"/>
          <w:b/>
        </w:rPr>
      </w:pPr>
    </w:p>
    <w:p w14:paraId="1F849BEC" w14:textId="0BB6A428" w:rsidR="006F2DE0" w:rsidRDefault="006F2DE0" w:rsidP="009C2DEC">
      <w:pPr>
        <w:spacing w:after="0"/>
        <w:ind w:right="-24"/>
        <w:rPr>
          <w:rFonts w:cs="Arial"/>
        </w:rPr>
      </w:pPr>
      <w:r>
        <w:rPr>
          <w:rFonts w:cs="Arial"/>
        </w:rPr>
        <w:t>At Full Council on 11</w:t>
      </w:r>
      <w:r w:rsidRPr="006F2DE0">
        <w:rPr>
          <w:rFonts w:cs="Arial"/>
          <w:vertAlign w:val="superscript"/>
        </w:rPr>
        <w:t>th</w:t>
      </w:r>
      <w:r>
        <w:rPr>
          <w:rFonts w:cs="Arial"/>
        </w:rPr>
        <w:t xml:space="preserve"> February 2016 a budget amendment was </w:t>
      </w:r>
      <w:r w:rsidR="00834ECA">
        <w:rPr>
          <w:rFonts w:cs="Arial"/>
        </w:rPr>
        <w:t>approved that</w:t>
      </w:r>
      <w:r>
        <w:rPr>
          <w:rFonts w:cs="Arial"/>
        </w:rPr>
        <w:t xml:space="preserve"> request</w:t>
      </w:r>
      <w:r w:rsidR="00834ECA">
        <w:rPr>
          <w:rFonts w:cs="Arial"/>
        </w:rPr>
        <w:t>ed</w:t>
      </w:r>
      <w:r>
        <w:rPr>
          <w:rFonts w:cs="Arial"/>
        </w:rPr>
        <w:t xml:space="preserve"> a £3.000m contingency be made available from reserves to facilitate the transition of services. This has been set aside from the Transitional Reserve because of this specific </w:t>
      </w:r>
      <w:r w:rsidR="00C91D57">
        <w:rPr>
          <w:rFonts w:cs="Arial"/>
        </w:rPr>
        <w:t xml:space="preserve">nature of the </w:t>
      </w:r>
      <w:r>
        <w:rPr>
          <w:rFonts w:cs="Arial"/>
        </w:rPr>
        <w:t>approval</w:t>
      </w:r>
      <w:r w:rsidR="00C91D57">
        <w:rPr>
          <w:rFonts w:cs="Arial"/>
        </w:rPr>
        <w:t xml:space="preserve">. </w:t>
      </w:r>
    </w:p>
    <w:p w14:paraId="06995260" w14:textId="77777777" w:rsidR="00C91D57" w:rsidRDefault="00C91D57" w:rsidP="009C2DEC">
      <w:pPr>
        <w:spacing w:after="0"/>
        <w:ind w:right="-24"/>
        <w:rPr>
          <w:rFonts w:cs="Arial"/>
        </w:rPr>
      </w:pPr>
    </w:p>
    <w:p w14:paraId="15EC2B65" w14:textId="20497FF6" w:rsidR="00C91D57" w:rsidRDefault="00C91D57" w:rsidP="00C91D57">
      <w:pPr>
        <w:spacing w:after="0"/>
        <w:ind w:right="-24"/>
        <w:rPr>
          <w:rFonts w:cs="Arial"/>
        </w:rPr>
      </w:pPr>
      <w:r w:rsidRPr="008308E2">
        <w:rPr>
          <w:rFonts w:cs="Arial"/>
        </w:rPr>
        <w:t xml:space="preserve">Details </w:t>
      </w:r>
      <w:r>
        <w:rPr>
          <w:rFonts w:cs="Arial"/>
        </w:rPr>
        <w:t>are shown in Annex C.</w:t>
      </w:r>
    </w:p>
    <w:p w14:paraId="18EB25AF" w14:textId="77777777" w:rsidR="00B1169D" w:rsidRDefault="00B1169D" w:rsidP="00B60B5D">
      <w:pPr>
        <w:spacing w:after="0"/>
        <w:ind w:right="-24"/>
        <w:rPr>
          <w:rFonts w:cs="Arial"/>
        </w:rPr>
      </w:pPr>
    </w:p>
    <w:p w14:paraId="2C42D974" w14:textId="70FDDD0C" w:rsidR="008308E2" w:rsidRPr="008308E2" w:rsidRDefault="00492941" w:rsidP="00B60B5D">
      <w:pPr>
        <w:spacing w:after="0"/>
        <w:ind w:right="-24"/>
        <w:rPr>
          <w:rFonts w:cs="Arial"/>
          <w:b/>
        </w:rPr>
      </w:pPr>
      <w:r>
        <w:rPr>
          <w:rFonts w:cs="Arial"/>
          <w:b/>
        </w:rPr>
        <w:t>2</w:t>
      </w:r>
      <w:r w:rsidR="00EF5462">
        <w:rPr>
          <w:rFonts w:cs="Arial"/>
          <w:b/>
        </w:rPr>
        <w:t>.5</w:t>
      </w:r>
      <w:r w:rsidR="00EF5462">
        <w:rPr>
          <w:rFonts w:cs="Arial"/>
          <w:b/>
        </w:rPr>
        <w:tab/>
      </w:r>
      <w:r w:rsidR="008308E2" w:rsidRPr="008308E2">
        <w:rPr>
          <w:rFonts w:cs="Arial"/>
          <w:b/>
        </w:rPr>
        <w:t>Service Reserves</w:t>
      </w:r>
    </w:p>
    <w:p w14:paraId="1B9D0777" w14:textId="77777777" w:rsidR="00A31B9F" w:rsidRDefault="00A31B9F" w:rsidP="00B60B5D">
      <w:pPr>
        <w:spacing w:after="0"/>
        <w:ind w:right="-24"/>
        <w:rPr>
          <w:rFonts w:cs="Arial"/>
        </w:rPr>
      </w:pPr>
    </w:p>
    <w:p w14:paraId="72342F47" w14:textId="77777777" w:rsidR="00EB2EBE" w:rsidRDefault="008308E2" w:rsidP="00EE0DDA">
      <w:pPr>
        <w:spacing w:after="0"/>
        <w:ind w:right="-24"/>
        <w:rPr>
          <w:rFonts w:cs="Arial"/>
        </w:rPr>
      </w:pPr>
      <w:r w:rsidRPr="008308E2">
        <w:rPr>
          <w:rFonts w:cs="Arial"/>
        </w:rPr>
        <w:t>The County Council hold</w:t>
      </w:r>
      <w:r w:rsidR="00B33C93">
        <w:rPr>
          <w:rFonts w:cs="Arial"/>
        </w:rPr>
        <w:t>s</w:t>
      </w:r>
      <w:r w:rsidRPr="008308E2">
        <w:rPr>
          <w:rFonts w:cs="Arial"/>
        </w:rPr>
        <w:t xml:space="preserve"> numerous reserves for specific service provision</w:t>
      </w:r>
      <w:r w:rsidR="00EE0DDA">
        <w:rPr>
          <w:rFonts w:cs="Arial"/>
        </w:rPr>
        <w:t>.</w:t>
      </w:r>
    </w:p>
    <w:p w14:paraId="5706A8D5" w14:textId="77777777" w:rsidR="00EE0DDA" w:rsidRDefault="00EE0DDA" w:rsidP="00EE0DDA">
      <w:pPr>
        <w:spacing w:after="0"/>
        <w:ind w:right="-24"/>
        <w:rPr>
          <w:rFonts w:cs="Arial"/>
        </w:rPr>
      </w:pPr>
    </w:p>
    <w:p w14:paraId="7DA8A409" w14:textId="77C6C435" w:rsidR="00EE2AF3" w:rsidRDefault="00C91D57" w:rsidP="00EE0DDA">
      <w:pPr>
        <w:spacing w:after="0"/>
        <w:ind w:right="-24"/>
        <w:rPr>
          <w:rFonts w:cs="Arial"/>
        </w:rPr>
      </w:pPr>
      <w:r>
        <w:rPr>
          <w:rFonts w:cs="Arial"/>
        </w:rPr>
        <w:t>As at 1</w:t>
      </w:r>
      <w:r w:rsidRPr="00C91D57">
        <w:rPr>
          <w:rFonts w:cs="Arial"/>
          <w:vertAlign w:val="superscript"/>
        </w:rPr>
        <w:t>st</w:t>
      </w:r>
      <w:r>
        <w:rPr>
          <w:rFonts w:cs="Arial"/>
        </w:rPr>
        <w:t xml:space="preserve"> April 2016 service</w:t>
      </w:r>
      <w:r w:rsidR="00EE0DDA">
        <w:rPr>
          <w:rFonts w:cs="Arial"/>
        </w:rPr>
        <w:t xml:space="preserve"> reserves total</w:t>
      </w:r>
      <w:r>
        <w:rPr>
          <w:rFonts w:cs="Arial"/>
        </w:rPr>
        <w:t>led</w:t>
      </w:r>
      <w:r w:rsidR="00EE0DDA">
        <w:rPr>
          <w:rFonts w:cs="Arial"/>
        </w:rPr>
        <w:t xml:space="preserve"> £</w:t>
      </w:r>
      <w:r w:rsidR="008A16E4">
        <w:rPr>
          <w:rFonts w:cs="Arial"/>
        </w:rPr>
        <w:t>45.21</w:t>
      </w:r>
      <w:r w:rsidR="00834ECA">
        <w:rPr>
          <w:rFonts w:cs="Arial"/>
        </w:rPr>
        <w:t>4</w:t>
      </w:r>
      <w:r w:rsidR="00EE2AF3">
        <w:rPr>
          <w:rFonts w:cs="Arial"/>
        </w:rPr>
        <w:t>m.</w:t>
      </w:r>
      <w:r w:rsidR="007F2790">
        <w:rPr>
          <w:rFonts w:cs="Arial"/>
        </w:rPr>
        <w:t xml:space="preserve"> </w:t>
      </w:r>
      <w:r w:rsidR="00EE2AF3">
        <w:rPr>
          <w:rFonts w:cs="Arial"/>
        </w:rPr>
        <w:t>There ar</w:t>
      </w:r>
      <w:r w:rsidR="00282A88">
        <w:rPr>
          <w:rFonts w:cs="Arial"/>
        </w:rPr>
        <w:t xml:space="preserve">e </w:t>
      </w:r>
      <w:r w:rsidR="00AA31EA">
        <w:rPr>
          <w:rFonts w:cs="Arial"/>
        </w:rPr>
        <w:t>forecast costs of £</w:t>
      </w:r>
      <w:r w:rsidR="0011319E">
        <w:rPr>
          <w:rFonts w:cs="Arial"/>
        </w:rPr>
        <w:t>8.893</w:t>
      </w:r>
      <w:r w:rsidR="00485C1C">
        <w:rPr>
          <w:rFonts w:cs="Arial"/>
        </w:rPr>
        <w:t>m</w:t>
      </w:r>
      <w:r w:rsidR="0021010B">
        <w:rPr>
          <w:rFonts w:cs="Arial"/>
        </w:rPr>
        <w:t xml:space="preserve"> in 2016/17</w:t>
      </w:r>
      <w:r w:rsidR="00FE52E2">
        <w:rPr>
          <w:rFonts w:cs="Arial"/>
        </w:rPr>
        <w:t>, transfers to the Transitional Reserve of £</w:t>
      </w:r>
      <w:r w:rsidR="00616C35">
        <w:rPr>
          <w:rFonts w:cs="Arial"/>
        </w:rPr>
        <w:t>1</w:t>
      </w:r>
      <w:r w:rsidR="00133426">
        <w:rPr>
          <w:rFonts w:cs="Arial"/>
        </w:rPr>
        <w:t>0</w:t>
      </w:r>
      <w:r w:rsidR="006906C0">
        <w:rPr>
          <w:rFonts w:cs="Arial"/>
        </w:rPr>
        <w:t>.</w:t>
      </w:r>
      <w:r w:rsidR="00F023BE">
        <w:rPr>
          <w:rFonts w:cs="Arial"/>
        </w:rPr>
        <w:t>929</w:t>
      </w:r>
      <w:r w:rsidR="00FE52E2">
        <w:rPr>
          <w:rFonts w:cs="Arial"/>
        </w:rPr>
        <w:t>m</w:t>
      </w:r>
      <w:r w:rsidR="00616C35">
        <w:rPr>
          <w:rFonts w:cs="Arial"/>
        </w:rPr>
        <w:t>, and a transfer to the schools reserve of £0.415m</w:t>
      </w:r>
      <w:r w:rsidR="00A52CE1">
        <w:rPr>
          <w:rFonts w:cs="Arial"/>
        </w:rPr>
        <w:t>, in addition to an offsetting transfer into a non- LCC reserve in relation to Health monies of £0.544m</w:t>
      </w:r>
      <w:r w:rsidR="00616C35">
        <w:rPr>
          <w:rFonts w:cs="Arial"/>
        </w:rPr>
        <w:t xml:space="preserve">. There is forecast </w:t>
      </w:r>
      <w:r w:rsidR="003B6078">
        <w:rPr>
          <w:rFonts w:cs="Arial"/>
        </w:rPr>
        <w:t>spend from</w:t>
      </w:r>
      <w:r w:rsidR="00616C35">
        <w:rPr>
          <w:rFonts w:cs="Arial"/>
        </w:rPr>
        <w:t xml:space="preserve"> these</w:t>
      </w:r>
      <w:r w:rsidR="008A16E4">
        <w:rPr>
          <w:rFonts w:cs="Arial"/>
        </w:rPr>
        <w:t xml:space="preserve"> reserves of </w:t>
      </w:r>
      <w:r w:rsidR="00EE2AF3">
        <w:rPr>
          <w:rFonts w:cs="Arial"/>
        </w:rPr>
        <w:t>£</w:t>
      </w:r>
      <w:r w:rsidR="00D937C5">
        <w:rPr>
          <w:rFonts w:cs="Arial"/>
        </w:rPr>
        <w:t>9.</w:t>
      </w:r>
      <w:r w:rsidR="00A52CE1">
        <w:rPr>
          <w:rFonts w:cs="Arial"/>
        </w:rPr>
        <w:t>303</w:t>
      </w:r>
      <w:r w:rsidR="00EE2AF3">
        <w:rPr>
          <w:rFonts w:cs="Arial"/>
        </w:rPr>
        <w:t xml:space="preserve">m in </w:t>
      </w:r>
      <w:r w:rsidR="008A16E4">
        <w:rPr>
          <w:rFonts w:cs="Arial"/>
        </w:rPr>
        <w:t>later</w:t>
      </w:r>
      <w:r w:rsidR="0021010B">
        <w:rPr>
          <w:rFonts w:cs="Arial"/>
        </w:rPr>
        <w:t xml:space="preserve"> yea</w:t>
      </w:r>
      <w:r w:rsidR="00833CDF">
        <w:rPr>
          <w:rFonts w:cs="Arial"/>
        </w:rPr>
        <w:t xml:space="preserve">rs to leave a balance </w:t>
      </w:r>
      <w:r w:rsidR="002E6689">
        <w:rPr>
          <w:rFonts w:cs="Arial"/>
        </w:rPr>
        <w:t>of £1</w:t>
      </w:r>
      <w:r w:rsidR="00A52CE1">
        <w:rPr>
          <w:rFonts w:cs="Arial"/>
        </w:rPr>
        <w:t>6.219</w:t>
      </w:r>
      <w:r w:rsidR="00616C35">
        <w:rPr>
          <w:rFonts w:cs="Arial"/>
        </w:rPr>
        <w:t>m</w:t>
      </w:r>
      <w:r w:rsidR="008A16E4">
        <w:rPr>
          <w:rFonts w:cs="Arial"/>
        </w:rPr>
        <w:t xml:space="preserve"> at the end of 2019/20. </w:t>
      </w:r>
      <w:r w:rsidR="00F52880">
        <w:rPr>
          <w:rFonts w:cs="Arial"/>
        </w:rPr>
        <w:t xml:space="preserve"> </w:t>
      </w:r>
      <w:r w:rsidR="00A52CE1">
        <w:rPr>
          <w:rFonts w:cs="Arial"/>
        </w:rPr>
        <w:t>£9.064</w:t>
      </w:r>
      <w:r w:rsidR="006942D8">
        <w:rPr>
          <w:rFonts w:cs="Arial"/>
        </w:rPr>
        <w:t xml:space="preserve">m of this balance </w:t>
      </w:r>
      <w:r w:rsidR="00A71A54">
        <w:rPr>
          <w:rFonts w:cs="Arial"/>
        </w:rPr>
        <w:t>relates to</w:t>
      </w:r>
      <w:r w:rsidR="00F52880">
        <w:rPr>
          <w:rFonts w:cs="Arial"/>
        </w:rPr>
        <w:t xml:space="preserve"> long term</w:t>
      </w:r>
      <w:r w:rsidR="007C4FA3">
        <w:rPr>
          <w:rFonts w:cs="Arial"/>
        </w:rPr>
        <w:t xml:space="preserve"> PFI programmes</w:t>
      </w:r>
      <w:r w:rsidR="0021010B">
        <w:rPr>
          <w:rFonts w:cs="Arial"/>
        </w:rPr>
        <w:t xml:space="preserve"> and </w:t>
      </w:r>
      <w:r w:rsidR="00F32C12">
        <w:rPr>
          <w:rFonts w:cs="Arial"/>
        </w:rPr>
        <w:t>£4</w:t>
      </w:r>
      <w:r w:rsidR="00FE52E2" w:rsidRPr="00A9140F">
        <w:rPr>
          <w:rFonts w:cs="Arial"/>
        </w:rPr>
        <w:t>.</w:t>
      </w:r>
      <w:r w:rsidR="009C4325">
        <w:rPr>
          <w:rFonts w:cs="Arial"/>
        </w:rPr>
        <w:t>83</w:t>
      </w:r>
      <w:r w:rsidR="00F32C12">
        <w:rPr>
          <w:rFonts w:cs="Arial"/>
        </w:rPr>
        <w:t>4</w:t>
      </w:r>
      <w:r w:rsidR="00FE52E2" w:rsidRPr="00A9140F">
        <w:rPr>
          <w:rFonts w:cs="Arial"/>
        </w:rPr>
        <w:t>m</w:t>
      </w:r>
      <w:r w:rsidR="00FE52E2" w:rsidRPr="00A9140F">
        <w:rPr>
          <w:rFonts w:cs="Arial"/>
          <w:color w:val="FF0000"/>
        </w:rPr>
        <w:t xml:space="preserve"> </w:t>
      </w:r>
      <w:r w:rsidR="00FE52E2">
        <w:rPr>
          <w:rFonts w:cs="Arial"/>
        </w:rPr>
        <w:t>is not LCC money</w:t>
      </w:r>
      <w:r w:rsidR="009C4325">
        <w:rPr>
          <w:rFonts w:cs="Arial"/>
        </w:rPr>
        <w:t>.</w:t>
      </w:r>
      <w:r w:rsidR="00B65678">
        <w:rPr>
          <w:rFonts w:cs="Arial"/>
        </w:rPr>
        <w:t xml:space="preserve"> </w:t>
      </w:r>
    </w:p>
    <w:p w14:paraId="49A9ED8C" w14:textId="77777777" w:rsidR="00CB6B47" w:rsidRDefault="00CB6B47" w:rsidP="00B60B5D">
      <w:pPr>
        <w:spacing w:after="0"/>
        <w:ind w:right="-24"/>
        <w:rPr>
          <w:rFonts w:cs="Arial"/>
        </w:rPr>
      </w:pPr>
    </w:p>
    <w:p w14:paraId="0DA3D6B5" w14:textId="77777777" w:rsidR="00D84F3C" w:rsidRDefault="008308E2" w:rsidP="00D84F3C">
      <w:pPr>
        <w:spacing w:after="0"/>
        <w:ind w:right="-24"/>
        <w:rPr>
          <w:rFonts w:cs="Arial"/>
        </w:rPr>
      </w:pPr>
      <w:r w:rsidRPr="008308E2">
        <w:rPr>
          <w:rFonts w:cs="Arial"/>
        </w:rPr>
        <w:t xml:space="preserve">Details </w:t>
      </w:r>
      <w:r w:rsidR="00CB6B47">
        <w:rPr>
          <w:rFonts w:cs="Arial"/>
        </w:rPr>
        <w:t xml:space="preserve">of the </w:t>
      </w:r>
      <w:r w:rsidR="00F351A2">
        <w:rPr>
          <w:rFonts w:cs="Arial"/>
        </w:rPr>
        <w:t>Service R</w:t>
      </w:r>
      <w:r w:rsidR="00CB6B47">
        <w:rPr>
          <w:rFonts w:cs="Arial"/>
        </w:rPr>
        <w:t>eserve</w:t>
      </w:r>
      <w:r w:rsidR="004E2AC4">
        <w:rPr>
          <w:rFonts w:cs="Arial"/>
        </w:rPr>
        <w:t>s</w:t>
      </w:r>
      <w:r w:rsidR="00CB6B47">
        <w:rPr>
          <w:rFonts w:cs="Arial"/>
        </w:rPr>
        <w:t xml:space="preserve"> </w:t>
      </w:r>
      <w:r w:rsidR="009C2DEC">
        <w:rPr>
          <w:rFonts w:cs="Arial"/>
        </w:rPr>
        <w:t>are shown in Annex D.</w:t>
      </w:r>
    </w:p>
    <w:p w14:paraId="72F499EA" w14:textId="77777777" w:rsidR="006942D8" w:rsidRDefault="006942D8" w:rsidP="00D84F3C">
      <w:pPr>
        <w:spacing w:after="0"/>
        <w:ind w:right="-24"/>
        <w:rPr>
          <w:rFonts w:cs="Arial"/>
          <w:b/>
        </w:rPr>
      </w:pPr>
    </w:p>
    <w:p w14:paraId="720CB72A" w14:textId="28010A2A" w:rsidR="008308E2" w:rsidRPr="008308E2" w:rsidRDefault="00492941" w:rsidP="00B60B5D">
      <w:pPr>
        <w:spacing w:after="0"/>
        <w:ind w:right="-24"/>
        <w:rPr>
          <w:rFonts w:cs="Arial"/>
          <w:b/>
        </w:rPr>
      </w:pPr>
      <w:r>
        <w:rPr>
          <w:rFonts w:cs="Arial"/>
          <w:b/>
        </w:rPr>
        <w:t>2</w:t>
      </w:r>
      <w:r w:rsidR="006942D8">
        <w:rPr>
          <w:rFonts w:cs="Arial"/>
          <w:b/>
        </w:rPr>
        <w:t>.6</w:t>
      </w:r>
      <w:r w:rsidR="00EF5462">
        <w:rPr>
          <w:rFonts w:cs="Arial"/>
          <w:b/>
        </w:rPr>
        <w:tab/>
      </w:r>
      <w:r w:rsidR="008308E2" w:rsidRPr="008308E2">
        <w:rPr>
          <w:rFonts w:cs="Arial"/>
          <w:b/>
        </w:rPr>
        <w:t>Schools</w:t>
      </w:r>
    </w:p>
    <w:p w14:paraId="6CDBB4D9" w14:textId="77777777" w:rsidR="00DF3D74" w:rsidRDefault="00DF3D74" w:rsidP="00B60B5D">
      <w:pPr>
        <w:spacing w:after="0"/>
        <w:ind w:right="-24"/>
        <w:rPr>
          <w:rFonts w:cs="Arial"/>
        </w:rPr>
      </w:pPr>
    </w:p>
    <w:p w14:paraId="74CAC1A5" w14:textId="142D005A" w:rsidR="009C2DEC" w:rsidRDefault="008308E2" w:rsidP="0011319E">
      <w:pPr>
        <w:spacing w:after="0"/>
        <w:ind w:right="-24"/>
        <w:rPr>
          <w:rFonts w:cs="Arial"/>
        </w:rPr>
      </w:pPr>
      <w:r w:rsidRPr="008308E2">
        <w:rPr>
          <w:rFonts w:cs="Arial"/>
        </w:rPr>
        <w:t xml:space="preserve">Under statute schools have delegated budgets. </w:t>
      </w:r>
      <w:r w:rsidR="00A31B9F">
        <w:rPr>
          <w:rFonts w:cs="Arial"/>
        </w:rPr>
        <w:t xml:space="preserve"> </w:t>
      </w:r>
      <w:r w:rsidRPr="008308E2">
        <w:rPr>
          <w:rFonts w:cs="Arial"/>
        </w:rPr>
        <w:t xml:space="preserve">It is the responsibility of the individual schools to maintain reserves to cover risks and meet future plans. </w:t>
      </w:r>
      <w:r w:rsidR="00A31B9F">
        <w:rPr>
          <w:rFonts w:cs="Arial"/>
        </w:rPr>
        <w:t xml:space="preserve"> </w:t>
      </w:r>
      <w:r w:rsidR="00324827">
        <w:rPr>
          <w:rFonts w:cs="Arial"/>
        </w:rPr>
        <w:t xml:space="preserve">As schools make their </w:t>
      </w:r>
      <w:r w:rsidR="00324827">
        <w:rPr>
          <w:rFonts w:cs="Arial"/>
        </w:rPr>
        <w:lastRenderedPageBreak/>
        <w:t xml:space="preserve">own delegated decisions on when to use reserves, </w:t>
      </w:r>
      <w:r w:rsidR="00DF3D74">
        <w:rPr>
          <w:rFonts w:cs="Arial"/>
        </w:rPr>
        <w:t xml:space="preserve">no forecast is made. School reserves </w:t>
      </w:r>
      <w:r w:rsidRPr="008308E2">
        <w:rPr>
          <w:rFonts w:cs="Arial"/>
        </w:rPr>
        <w:t>cannot be used for any other purpose.</w:t>
      </w:r>
      <w:r w:rsidR="00DF3D74">
        <w:rPr>
          <w:rFonts w:cs="Arial"/>
        </w:rPr>
        <w:t xml:space="preserve"> The current status of </w:t>
      </w:r>
      <w:r w:rsidR="0011319E">
        <w:rPr>
          <w:rFonts w:cs="Arial"/>
        </w:rPr>
        <w:t>schools' reserves is as follows</w:t>
      </w:r>
    </w:p>
    <w:p w14:paraId="16E5821E" w14:textId="77777777" w:rsidR="00F91AAC" w:rsidRDefault="00F91AAC" w:rsidP="00B60B5D">
      <w:pPr>
        <w:spacing w:after="0"/>
        <w:ind w:right="-24"/>
        <w:rPr>
          <w:rFonts w:cs="Arial"/>
          <w:b/>
        </w:rPr>
      </w:pPr>
    </w:p>
    <w:p w14:paraId="396FCDB9" w14:textId="77777777" w:rsidR="00A52CE1" w:rsidRDefault="00A52CE1" w:rsidP="00B60B5D">
      <w:pPr>
        <w:spacing w:after="0"/>
        <w:ind w:right="-24"/>
        <w:rPr>
          <w:rFonts w:cs="Arial"/>
          <w:b/>
        </w:rPr>
      </w:pPr>
    </w:p>
    <w:tbl>
      <w:tblPr>
        <w:tblW w:w="8506" w:type="dxa"/>
        <w:jc w:val="center"/>
        <w:tblLook w:val="04A0" w:firstRow="1" w:lastRow="0" w:firstColumn="1" w:lastColumn="0" w:noHBand="0" w:noVBand="1"/>
      </w:tblPr>
      <w:tblGrid>
        <w:gridCol w:w="3921"/>
        <w:gridCol w:w="1180"/>
        <w:gridCol w:w="1060"/>
        <w:gridCol w:w="2345"/>
      </w:tblGrid>
      <w:tr w:rsidR="0011319E" w:rsidRPr="0011319E" w14:paraId="54B250F7" w14:textId="77777777" w:rsidTr="0011319E">
        <w:trPr>
          <w:trHeight w:val="900"/>
          <w:jc w:val="center"/>
        </w:trPr>
        <w:tc>
          <w:tcPr>
            <w:tcW w:w="3921" w:type="dxa"/>
            <w:tcBorders>
              <w:top w:val="single" w:sz="8" w:space="0" w:color="auto"/>
              <w:left w:val="single" w:sz="8" w:space="0" w:color="auto"/>
              <w:bottom w:val="nil"/>
              <w:right w:val="nil"/>
            </w:tcBorders>
            <w:shd w:val="clear" w:color="000000" w:fill="BFBFBF"/>
            <w:vAlign w:val="center"/>
            <w:hideMark/>
          </w:tcPr>
          <w:p w14:paraId="45F6941C" w14:textId="77777777" w:rsidR="0011319E" w:rsidRPr="0011319E" w:rsidRDefault="0011319E" w:rsidP="0011319E">
            <w:pPr>
              <w:autoSpaceDE/>
              <w:autoSpaceDN/>
              <w:adjustRightInd/>
              <w:spacing w:after="0"/>
              <w:jc w:val="center"/>
              <w:rPr>
                <w:rFonts w:eastAsia="Times New Roman" w:cs="Arial"/>
                <w:b/>
                <w:bCs/>
                <w:sz w:val="16"/>
                <w:szCs w:val="16"/>
                <w:lang w:eastAsia="en-GB"/>
              </w:rPr>
            </w:pPr>
            <w:r w:rsidRPr="0011319E">
              <w:rPr>
                <w:rFonts w:eastAsia="Times New Roman" w:cs="Arial"/>
                <w:b/>
                <w:bCs/>
                <w:sz w:val="16"/>
                <w:szCs w:val="16"/>
                <w:lang w:eastAsia="en-GB"/>
              </w:rPr>
              <w:t>Reserve Name</w:t>
            </w:r>
          </w:p>
        </w:tc>
        <w:tc>
          <w:tcPr>
            <w:tcW w:w="1180" w:type="dxa"/>
            <w:tcBorders>
              <w:top w:val="single" w:sz="8" w:space="0" w:color="auto"/>
              <w:left w:val="single" w:sz="4" w:space="0" w:color="auto"/>
              <w:bottom w:val="nil"/>
              <w:right w:val="single" w:sz="4" w:space="0" w:color="auto"/>
            </w:tcBorders>
            <w:shd w:val="clear" w:color="000000" w:fill="BFBFBF"/>
            <w:vAlign w:val="center"/>
            <w:hideMark/>
          </w:tcPr>
          <w:p w14:paraId="1F9CBD48" w14:textId="77777777" w:rsidR="0011319E" w:rsidRPr="0011319E" w:rsidRDefault="0011319E" w:rsidP="0011319E">
            <w:pPr>
              <w:autoSpaceDE/>
              <w:autoSpaceDN/>
              <w:adjustRightInd/>
              <w:spacing w:after="0"/>
              <w:jc w:val="center"/>
              <w:rPr>
                <w:rFonts w:eastAsia="Times New Roman" w:cs="Arial"/>
                <w:b/>
                <w:bCs/>
                <w:sz w:val="16"/>
                <w:szCs w:val="16"/>
                <w:lang w:eastAsia="en-GB"/>
              </w:rPr>
            </w:pPr>
            <w:r w:rsidRPr="0011319E">
              <w:rPr>
                <w:rFonts w:eastAsia="Times New Roman" w:cs="Arial"/>
                <w:b/>
                <w:bCs/>
                <w:sz w:val="16"/>
                <w:szCs w:val="16"/>
                <w:lang w:eastAsia="en-GB"/>
              </w:rPr>
              <w:t>Opening Balance as at 1 April 2016</w:t>
            </w:r>
          </w:p>
        </w:tc>
        <w:tc>
          <w:tcPr>
            <w:tcW w:w="1060" w:type="dxa"/>
            <w:tcBorders>
              <w:top w:val="single" w:sz="8" w:space="0" w:color="auto"/>
              <w:left w:val="nil"/>
              <w:bottom w:val="nil"/>
              <w:right w:val="single" w:sz="4" w:space="0" w:color="auto"/>
            </w:tcBorders>
            <w:shd w:val="clear" w:color="000000" w:fill="BFBFBF"/>
            <w:vAlign w:val="center"/>
            <w:hideMark/>
          </w:tcPr>
          <w:p w14:paraId="5B163518" w14:textId="77777777" w:rsidR="0011319E" w:rsidRPr="0011319E" w:rsidRDefault="0011319E" w:rsidP="0011319E">
            <w:pPr>
              <w:autoSpaceDE/>
              <w:autoSpaceDN/>
              <w:adjustRightInd/>
              <w:spacing w:after="0"/>
              <w:jc w:val="center"/>
              <w:rPr>
                <w:rFonts w:eastAsia="Times New Roman" w:cs="Arial"/>
                <w:b/>
                <w:bCs/>
                <w:sz w:val="16"/>
                <w:szCs w:val="16"/>
                <w:lang w:eastAsia="en-GB"/>
              </w:rPr>
            </w:pPr>
            <w:r w:rsidRPr="0011319E">
              <w:rPr>
                <w:rFonts w:eastAsia="Times New Roman" w:cs="Arial"/>
                <w:b/>
                <w:bCs/>
                <w:sz w:val="16"/>
                <w:szCs w:val="16"/>
                <w:lang w:eastAsia="en-GB"/>
              </w:rPr>
              <w:t>YTD actual 2016/17</w:t>
            </w:r>
          </w:p>
        </w:tc>
        <w:tc>
          <w:tcPr>
            <w:tcW w:w="2345" w:type="dxa"/>
            <w:tcBorders>
              <w:top w:val="single" w:sz="8" w:space="0" w:color="auto"/>
              <w:left w:val="nil"/>
              <w:bottom w:val="nil"/>
              <w:right w:val="single" w:sz="8" w:space="0" w:color="auto"/>
            </w:tcBorders>
            <w:shd w:val="clear" w:color="000000" w:fill="BFBFBF"/>
            <w:vAlign w:val="center"/>
            <w:hideMark/>
          </w:tcPr>
          <w:p w14:paraId="7DFFAD8F" w14:textId="57E88369" w:rsidR="0011319E" w:rsidRPr="0011319E" w:rsidRDefault="0011319E" w:rsidP="0011319E">
            <w:pPr>
              <w:autoSpaceDE/>
              <w:autoSpaceDN/>
              <w:adjustRightInd/>
              <w:spacing w:after="0"/>
              <w:jc w:val="center"/>
              <w:rPr>
                <w:rFonts w:eastAsia="Times New Roman" w:cs="Arial"/>
                <w:b/>
                <w:bCs/>
                <w:sz w:val="16"/>
                <w:szCs w:val="16"/>
                <w:lang w:eastAsia="en-GB"/>
              </w:rPr>
            </w:pPr>
            <w:r w:rsidRPr="0011319E">
              <w:rPr>
                <w:rFonts w:eastAsia="Times New Roman" w:cs="Arial"/>
                <w:b/>
                <w:bCs/>
                <w:sz w:val="16"/>
                <w:szCs w:val="16"/>
                <w:lang w:eastAsia="en-GB"/>
              </w:rPr>
              <w:t>Forecast Closing Balance as at</w:t>
            </w:r>
            <w:r>
              <w:rPr>
                <w:rFonts w:eastAsia="Times New Roman" w:cs="Arial"/>
                <w:b/>
                <w:bCs/>
                <w:sz w:val="16"/>
                <w:szCs w:val="16"/>
                <w:lang w:eastAsia="en-GB"/>
              </w:rPr>
              <w:t xml:space="preserve"> 31</w:t>
            </w:r>
            <w:r w:rsidRPr="0011319E">
              <w:rPr>
                <w:rFonts w:eastAsia="Times New Roman" w:cs="Arial"/>
                <w:b/>
                <w:bCs/>
                <w:sz w:val="16"/>
                <w:szCs w:val="16"/>
                <w:vertAlign w:val="superscript"/>
                <w:lang w:eastAsia="en-GB"/>
              </w:rPr>
              <w:t>st</w:t>
            </w:r>
            <w:r>
              <w:rPr>
                <w:rFonts w:eastAsia="Times New Roman" w:cs="Arial"/>
                <w:b/>
                <w:bCs/>
                <w:sz w:val="16"/>
                <w:szCs w:val="16"/>
                <w:lang w:eastAsia="en-GB"/>
              </w:rPr>
              <w:t xml:space="preserve"> March 2017</w:t>
            </w:r>
          </w:p>
        </w:tc>
      </w:tr>
      <w:tr w:rsidR="0011319E" w:rsidRPr="0011319E" w14:paraId="0FC06398" w14:textId="77777777" w:rsidTr="0011319E">
        <w:trPr>
          <w:trHeight w:val="87"/>
          <w:jc w:val="center"/>
        </w:trPr>
        <w:tc>
          <w:tcPr>
            <w:tcW w:w="3921" w:type="dxa"/>
            <w:tcBorders>
              <w:top w:val="nil"/>
              <w:left w:val="single" w:sz="8" w:space="0" w:color="auto"/>
              <w:bottom w:val="single" w:sz="4" w:space="0" w:color="auto"/>
              <w:right w:val="nil"/>
            </w:tcBorders>
            <w:shd w:val="clear" w:color="000000" w:fill="BFBFBF"/>
            <w:vAlign w:val="center"/>
            <w:hideMark/>
          </w:tcPr>
          <w:p w14:paraId="57D9040C" w14:textId="77777777" w:rsidR="0011319E" w:rsidRPr="0011319E" w:rsidRDefault="0011319E" w:rsidP="0011319E">
            <w:pPr>
              <w:autoSpaceDE/>
              <w:autoSpaceDN/>
              <w:adjustRightInd/>
              <w:spacing w:after="0"/>
              <w:jc w:val="center"/>
              <w:rPr>
                <w:rFonts w:eastAsia="Times New Roman" w:cs="Arial"/>
                <w:b/>
                <w:bCs/>
                <w:sz w:val="16"/>
                <w:szCs w:val="16"/>
                <w:lang w:eastAsia="en-GB"/>
              </w:rPr>
            </w:pPr>
            <w:r w:rsidRPr="0011319E">
              <w:rPr>
                <w:rFonts w:eastAsia="Times New Roman" w:cs="Arial"/>
                <w:b/>
                <w:bCs/>
                <w:sz w:val="16"/>
                <w:szCs w:val="16"/>
                <w:lang w:eastAsia="en-GB"/>
              </w:rPr>
              <w:t> </w:t>
            </w:r>
          </w:p>
        </w:tc>
        <w:tc>
          <w:tcPr>
            <w:tcW w:w="1180" w:type="dxa"/>
            <w:tcBorders>
              <w:top w:val="nil"/>
              <w:left w:val="single" w:sz="4" w:space="0" w:color="auto"/>
              <w:bottom w:val="single" w:sz="4" w:space="0" w:color="auto"/>
              <w:right w:val="single" w:sz="4" w:space="0" w:color="auto"/>
            </w:tcBorders>
            <w:shd w:val="clear" w:color="000000" w:fill="BFBFBF"/>
            <w:vAlign w:val="center"/>
            <w:hideMark/>
          </w:tcPr>
          <w:p w14:paraId="3B7D24EA" w14:textId="77777777" w:rsidR="0011319E" w:rsidRPr="0011319E" w:rsidRDefault="0011319E" w:rsidP="0011319E">
            <w:pPr>
              <w:autoSpaceDE/>
              <w:autoSpaceDN/>
              <w:adjustRightInd/>
              <w:spacing w:after="0"/>
              <w:jc w:val="center"/>
              <w:rPr>
                <w:rFonts w:eastAsia="Times New Roman" w:cs="Arial"/>
                <w:b/>
                <w:bCs/>
                <w:sz w:val="16"/>
                <w:szCs w:val="16"/>
                <w:lang w:eastAsia="en-GB"/>
              </w:rPr>
            </w:pPr>
            <w:r w:rsidRPr="0011319E">
              <w:rPr>
                <w:rFonts w:eastAsia="Times New Roman" w:cs="Arial"/>
                <w:b/>
                <w:bCs/>
                <w:sz w:val="16"/>
                <w:szCs w:val="16"/>
                <w:lang w:eastAsia="en-GB"/>
              </w:rPr>
              <w:t> </w:t>
            </w:r>
          </w:p>
        </w:tc>
        <w:tc>
          <w:tcPr>
            <w:tcW w:w="1060" w:type="dxa"/>
            <w:tcBorders>
              <w:top w:val="nil"/>
              <w:left w:val="nil"/>
              <w:bottom w:val="single" w:sz="4" w:space="0" w:color="auto"/>
              <w:right w:val="single" w:sz="4" w:space="0" w:color="auto"/>
            </w:tcBorders>
            <w:shd w:val="clear" w:color="000000" w:fill="BFBFBF"/>
            <w:vAlign w:val="center"/>
            <w:hideMark/>
          </w:tcPr>
          <w:p w14:paraId="4AFDF5B5" w14:textId="77777777" w:rsidR="0011319E" w:rsidRPr="0011319E" w:rsidRDefault="0011319E" w:rsidP="0011319E">
            <w:pPr>
              <w:autoSpaceDE/>
              <w:autoSpaceDN/>
              <w:adjustRightInd/>
              <w:spacing w:after="0"/>
              <w:jc w:val="center"/>
              <w:rPr>
                <w:rFonts w:eastAsia="Times New Roman" w:cs="Arial"/>
                <w:b/>
                <w:bCs/>
                <w:sz w:val="16"/>
                <w:szCs w:val="16"/>
                <w:lang w:eastAsia="en-GB"/>
              </w:rPr>
            </w:pPr>
            <w:r w:rsidRPr="0011319E">
              <w:rPr>
                <w:rFonts w:eastAsia="Times New Roman" w:cs="Arial"/>
                <w:b/>
                <w:bCs/>
                <w:sz w:val="16"/>
                <w:szCs w:val="16"/>
                <w:lang w:eastAsia="en-GB"/>
              </w:rPr>
              <w:t> </w:t>
            </w:r>
          </w:p>
        </w:tc>
        <w:tc>
          <w:tcPr>
            <w:tcW w:w="2345" w:type="dxa"/>
            <w:tcBorders>
              <w:top w:val="nil"/>
              <w:left w:val="nil"/>
              <w:bottom w:val="single" w:sz="4" w:space="0" w:color="auto"/>
              <w:right w:val="single" w:sz="8" w:space="0" w:color="auto"/>
            </w:tcBorders>
            <w:shd w:val="clear" w:color="000000" w:fill="BFBFBF"/>
            <w:vAlign w:val="center"/>
            <w:hideMark/>
          </w:tcPr>
          <w:p w14:paraId="0BC7EC49" w14:textId="62873E7B" w:rsidR="0011319E" w:rsidRPr="0011319E" w:rsidRDefault="0011319E" w:rsidP="0011319E">
            <w:pPr>
              <w:autoSpaceDE/>
              <w:autoSpaceDN/>
              <w:adjustRightInd/>
              <w:spacing w:after="0"/>
              <w:rPr>
                <w:rFonts w:eastAsia="Times New Roman" w:cs="Arial"/>
                <w:b/>
                <w:bCs/>
                <w:sz w:val="16"/>
                <w:szCs w:val="16"/>
                <w:lang w:eastAsia="en-GB"/>
              </w:rPr>
            </w:pPr>
          </w:p>
        </w:tc>
      </w:tr>
      <w:tr w:rsidR="0011319E" w:rsidRPr="0011319E" w14:paraId="4A72BA97" w14:textId="77777777" w:rsidTr="0011319E">
        <w:trPr>
          <w:trHeight w:val="255"/>
          <w:jc w:val="center"/>
        </w:trPr>
        <w:tc>
          <w:tcPr>
            <w:tcW w:w="3921" w:type="dxa"/>
            <w:tcBorders>
              <w:top w:val="nil"/>
              <w:left w:val="single" w:sz="8" w:space="0" w:color="auto"/>
              <w:bottom w:val="nil"/>
              <w:right w:val="single" w:sz="4" w:space="0" w:color="auto"/>
            </w:tcBorders>
            <w:shd w:val="clear" w:color="000000" w:fill="BFBFBF"/>
            <w:vAlign w:val="center"/>
            <w:hideMark/>
          </w:tcPr>
          <w:p w14:paraId="62B98519" w14:textId="77777777" w:rsidR="0011319E" w:rsidRPr="0011319E" w:rsidRDefault="0011319E" w:rsidP="0011319E">
            <w:pPr>
              <w:autoSpaceDE/>
              <w:autoSpaceDN/>
              <w:adjustRightInd/>
              <w:spacing w:after="0"/>
              <w:jc w:val="center"/>
              <w:rPr>
                <w:rFonts w:eastAsia="Times New Roman" w:cs="Arial"/>
                <w:b/>
                <w:bCs/>
                <w:sz w:val="16"/>
                <w:szCs w:val="16"/>
                <w:lang w:eastAsia="en-GB"/>
              </w:rPr>
            </w:pPr>
            <w:r w:rsidRPr="0011319E">
              <w:rPr>
                <w:rFonts w:eastAsia="Times New Roman" w:cs="Arial"/>
                <w:b/>
                <w:bCs/>
                <w:sz w:val="16"/>
                <w:szCs w:val="16"/>
                <w:lang w:eastAsia="en-GB"/>
              </w:rPr>
              <w:t> </w:t>
            </w:r>
          </w:p>
        </w:tc>
        <w:tc>
          <w:tcPr>
            <w:tcW w:w="1180" w:type="dxa"/>
            <w:tcBorders>
              <w:top w:val="nil"/>
              <w:left w:val="nil"/>
              <w:bottom w:val="nil"/>
              <w:right w:val="single" w:sz="4" w:space="0" w:color="auto"/>
            </w:tcBorders>
            <w:shd w:val="clear" w:color="000000" w:fill="BFBFBF"/>
            <w:vAlign w:val="center"/>
            <w:hideMark/>
          </w:tcPr>
          <w:p w14:paraId="023409D8" w14:textId="77777777" w:rsidR="0011319E" w:rsidRPr="0011319E" w:rsidRDefault="0011319E" w:rsidP="0011319E">
            <w:pPr>
              <w:autoSpaceDE/>
              <w:autoSpaceDN/>
              <w:adjustRightInd/>
              <w:spacing w:after="0"/>
              <w:jc w:val="center"/>
              <w:rPr>
                <w:rFonts w:eastAsia="Times New Roman" w:cs="Arial"/>
                <w:b/>
                <w:bCs/>
                <w:sz w:val="16"/>
                <w:szCs w:val="16"/>
                <w:lang w:eastAsia="en-GB"/>
              </w:rPr>
            </w:pPr>
            <w:r w:rsidRPr="0011319E">
              <w:rPr>
                <w:rFonts w:eastAsia="Times New Roman" w:cs="Arial"/>
                <w:b/>
                <w:bCs/>
                <w:sz w:val="16"/>
                <w:szCs w:val="16"/>
                <w:lang w:eastAsia="en-GB"/>
              </w:rPr>
              <w:t>£m</w:t>
            </w:r>
          </w:p>
        </w:tc>
        <w:tc>
          <w:tcPr>
            <w:tcW w:w="1060" w:type="dxa"/>
            <w:tcBorders>
              <w:top w:val="nil"/>
              <w:left w:val="nil"/>
              <w:bottom w:val="nil"/>
              <w:right w:val="single" w:sz="4" w:space="0" w:color="auto"/>
            </w:tcBorders>
            <w:shd w:val="clear" w:color="000000" w:fill="BFBFBF"/>
            <w:vAlign w:val="center"/>
            <w:hideMark/>
          </w:tcPr>
          <w:p w14:paraId="216A5D51" w14:textId="77777777" w:rsidR="0011319E" w:rsidRPr="0011319E" w:rsidRDefault="0011319E" w:rsidP="0011319E">
            <w:pPr>
              <w:autoSpaceDE/>
              <w:autoSpaceDN/>
              <w:adjustRightInd/>
              <w:spacing w:after="0"/>
              <w:jc w:val="center"/>
              <w:rPr>
                <w:rFonts w:eastAsia="Times New Roman" w:cs="Arial"/>
                <w:b/>
                <w:bCs/>
                <w:sz w:val="16"/>
                <w:szCs w:val="16"/>
                <w:lang w:eastAsia="en-GB"/>
              </w:rPr>
            </w:pPr>
            <w:r w:rsidRPr="0011319E">
              <w:rPr>
                <w:rFonts w:eastAsia="Times New Roman" w:cs="Arial"/>
                <w:b/>
                <w:bCs/>
                <w:sz w:val="16"/>
                <w:szCs w:val="16"/>
                <w:lang w:eastAsia="en-GB"/>
              </w:rPr>
              <w:t>£m</w:t>
            </w:r>
          </w:p>
        </w:tc>
        <w:tc>
          <w:tcPr>
            <w:tcW w:w="2345" w:type="dxa"/>
            <w:tcBorders>
              <w:top w:val="nil"/>
              <w:left w:val="nil"/>
              <w:bottom w:val="nil"/>
              <w:right w:val="single" w:sz="8" w:space="0" w:color="auto"/>
            </w:tcBorders>
            <w:shd w:val="clear" w:color="000000" w:fill="BFBFBF"/>
            <w:vAlign w:val="center"/>
            <w:hideMark/>
          </w:tcPr>
          <w:p w14:paraId="088AA899" w14:textId="77777777" w:rsidR="0011319E" w:rsidRPr="0011319E" w:rsidRDefault="0011319E" w:rsidP="0011319E">
            <w:pPr>
              <w:autoSpaceDE/>
              <w:autoSpaceDN/>
              <w:adjustRightInd/>
              <w:spacing w:after="0"/>
              <w:jc w:val="center"/>
              <w:rPr>
                <w:rFonts w:eastAsia="Times New Roman" w:cs="Arial"/>
                <w:b/>
                <w:bCs/>
                <w:sz w:val="16"/>
                <w:szCs w:val="16"/>
                <w:lang w:eastAsia="en-GB"/>
              </w:rPr>
            </w:pPr>
            <w:r w:rsidRPr="0011319E">
              <w:rPr>
                <w:rFonts w:eastAsia="Times New Roman" w:cs="Arial"/>
                <w:b/>
                <w:bCs/>
                <w:sz w:val="16"/>
                <w:szCs w:val="16"/>
                <w:lang w:eastAsia="en-GB"/>
              </w:rPr>
              <w:t>£m</w:t>
            </w:r>
          </w:p>
        </w:tc>
      </w:tr>
      <w:tr w:rsidR="0011319E" w:rsidRPr="0011319E" w14:paraId="6254A412" w14:textId="77777777" w:rsidTr="0011319E">
        <w:trPr>
          <w:trHeight w:val="270"/>
          <w:jc w:val="center"/>
        </w:trPr>
        <w:tc>
          <w:tcPr>
            <w:tcW w:w="392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E6D17DC" w14:textId="77777777" w:rsidR="0011319E" w:rsidRPr="0011319E" w:rsidRDefault="0011319E" w:rsidP="0011319E">
            <w:pPr>
              <w:autoSpaceDE/>
              <w:autoSpaceDN/>
              <w:adjustRightInd/>
              <w:spacing w:after="0"/>
              <w:jc w:val="center"/>
              <w:rPr>
                <w:rFonts w:eastAsia="Times New Roman" w:cs="Arial"/>
                <w:sz w:val="16"/>
                <w:szCs w:val="16"/>
                <w:lang w:eastAsia="en-GB"/>
              </w:rPr>
            </w:pPr>
            <w:r w:rsidRPr="0011319E">
              <w:rPr>
                <w:rFonts w:eastAsia="Times New Roman" w:cs="Arial"/>
                <w:sz w:val="16"/>
                <w:szCs w:val="16"/>
                <w:lang w:eastAsia="en-GB"/>
              </w:rPr>
              <w:t>School Reserves</w:t>
            </w:r>
          </w:p>
        </w:tc>
        <w:tc>
          <w:tcPr>
            <w:tcW w:w="1180" w:type="dxa"/>
            <w:tcBorders>
              <w:top w:val="single" w:sz="4" w:space="0" w:color="auto"/>
              <w:left w:val="nil"/>
              <w:bottom w:val="single" w:sz="8" w:space="0" w:color="auto"/>
              <w:right w:val="single" w:sz="4" w:space="0" w:color="auto"/>
            </w:tcBorders>
            <w:shd w:val="clear" w:color="auto" w:fill="auto"/>
            <w:noWrap/>
            <w:vAlign w:val="center"/>
            <w:hideMark/>
          </w:tcPr>
          <w:p w14:paraId="2A392711" w14:textId="77777777" w:rsidR="0011319E" w:rsidRPr="0011319E" w:rsidRDefault="0011319E" w:rsidP="0011319E">
            <w:pPr>
              <w:autoSpaceDE/>
              <w:autoSpaceDN/>
              <w:adjustRightInd/>
              <w:spacing w:after="0"/>
              <w:jc w:val="center"/>
              <w:rPr>
                <w:rFonts w:eastAsia="Times New Roman" w:cs="Arial"/>
                <w:sz w:val="16"/>
                <w:szCs w:val="16"/>
                <w:lang w:eastAsia="en-GB"/>
              </w:rPr>
            </w:pPr>
            <w:r w:rsidRPr="0011319E">
              <w:rPr>
                <w:rFonts w:eastAsia="Times New Roman" w:cs="Arial"/>
                <w:sz w:val="16"/>
                <w:szCs w:val="16"/>
                <w:lang w:eastAsia="en-GB"/>
              </w:rPr>
              <w:t>-86.022</w:t>
            </w:r>
          </w:p>
        </w:tc>
        <w:tc>
          <w:tcPr>
            <w:tcW w:w="1060" w:type="dxa"/>
            <w:tcBorders>
              <w:top w:val="single" w:sz="4" w:space="0" w:color="auto"/>
              <w:left w:val="nil"/>
              <w:bottom w:val="single" w:sz="8" w:space="0" w:color="auto"/>
              <w:right w:val="single" w:sz="4" w:space="0" w:color="auto"/>
            </w:tcBorders>
            <w:shd w:val="clear" w:color="auto" w:fill="auto"/>
            <w:noWrap/>
            <w:vAlign w:val="center"/>
            <w:hideMark/>
          </w:tcPr>
          <w:p w14:paraId="6D9C9057" w14:textId="77777777" w:rsidR="0011319E" w:rsidRPr="0011319E" w:rsidRDefault="0011319E" w:rsidP="0011319E">
            <w:pPr>
              <w:autoSpaceDE/>
              <w:autoSpaceDN/>
              <w:adjustRightInd/>
              <w:spacing w:after="0"/>
              <w:jc w:val="center"/>
              <w:rPr>
                <w:rFonts w:eastAsia="Times New Roman" w:cs="Arial"/>
                <w:sz w:val="16"/>
                <w:szCs w:val="16"/>
                <w:lang w:eastAsia="en-GB"/>
              </w:rPr>
            </w:pPr>
            <w:r w:rsidRPr="0011319E">
              <w:rPr>
                <w:rFonts w:eastAsia="Times New Roman" w:cs="Arial"/>
                <w:sz w:val="16"/>
                <w:szCs w:val="16"/>
                <w:lang w:eastAsia="en-GB"/>
              </w:rPr>
              <w:t>3.196</w:t>
            </w:r>
          </w:p>
        </w:tc>
        <w:tc>
          <w:tcPr>
            <w:tcW w:w="2345" w:type="dxa"/>
            <w:tcBorders>
              <w:top w:val="single" w:sz="4" w:space="0" w:color="auto"/>
              <w:left w:val="nil"/>
              <w:bottom w:val="single" w:sz="8" w:space="0" w:color="auto"/>
              <w:right w:val="single" w:sz="8" w:space="0" w:color="auto"/>
            </w:tcBorders>
            <w:shd w:val="clear" w:color="auto" w:fill="auto"/>
            <w:noWrap/>
            <w:vAlign w:val="center"/>
            <w:hideMark/>
          </w:tcPr>
          <w:p w14:paraId="2A5A394A" w14:textId="77777777" w:rsidR="0011319E" w:rsidRPr="0011319E" w:rsidRDefault="0011319E" w:rsidP="0011319E">
            <w:pPr>
              <w:autoSpaceDE/>
              <w:autoSpaceDN/>
              <w:adjustRightInd/>
              <w:spacing w:after="0"/>
              <w:jc w:val="center"/>
              <w:rPr>
                <w:rFonts w:eastAsia="Times New Roman" w:cs="Arial"/>
                <w:sz w:val="16"/>
                <w:szCs w:val="16"/>
                <w:lang w:eastAsia="en-GB"/>
              </w:rPr>
            </w:pPr>
            <w:r w:rsidRPr="0011319E">
              <w:rPr>
                <w:rFonts w:eastAsia="Times New Roman" w:cs="Arial"/>
                <w:sz w:val="16"/>
                <w:szCs w:val="16"/>
                <w:lang w:eastAsia="en-GB"/>
              </w:rPr>
              <w:t>-82.826</w:t>
            </w:r>
          </w:p>
        </w:tc>
      </w:tr>
    </w:tbl>
    <w:p w14:paraId="1133FDE3" w14:textId="77777777" w:rsidR="00A52CE1" w:rsidRDefault="00A52CE1" w:rsidP="00B60B5D">
      <w:pPr>
        <w:spacing w:after="0"/>
        <w:ind w:right="-24"/>
        <w:rPr>
          <w:rFonts w:cs="Arial"/>
          <w:b/>
        </w:rPr>
      </w:pPr>
    </w:p>
    <w:p w14:paraId="129FB27A" w14:textId="77777777" w:rsidR="00A52CE1" w:rsidRDefault="00A52CE1" w:rsidP="00B60B5D">
      <w:pPr>
        <w:spacing w:after="0"/>
        <w:ind w:right="-24"/>
        <w:rPr>
          <w:rFonts w:cs="Arial"/>
          <w:b/>
        </w:rPr>
      </w:pPr>
    </w:p>
    <w:p w14:paraId="57A85D81" w14:textId="77777777" w:rsidR="00111ECC" w:rsidRDefault="00111ECC" w:rsidP="00B60B5D">
      <w:pPr>
        <w:spacing w:after="0"/>
        <w:ind w:right="-24"/>
        <w:rPr>
          <w:rFonts w:cs="Arial"/>
          <w:b/>
        </w:rPr>
      </w:pPr>
    </w:p>
    <w:p w14:paraId="57849348" w14:textId="6A430C6F" w:rsidR="008308E2" w:rsidRPr="008308E2" w:rsidRDefault="00492941" w:rsidP="00B60B5D">
      <w:pPr>
        <w:spacing w:after="0"/>
        <w:ind w:right="-24"/>
        <w:rPr>
          <w:rFonts w:cs="Arial"/>
          <w:b/>
        </w:rPr>
      </w:pPr>
      <w:r>
        <w:rPr>
          <w:rFonts w:cs="Arial"/>
          <w:b/>
        </w:rPr>
        <w:t>3</w:t>
      </w:r>
      <w:r w:rsidR="00E273DB">
        <w:rPr>
          <w:rFonts w:cs="Arial"/>
          <w:b/>
        </w:rPr>
        <w:t>.</w:t>
      </w:r>
      <w:r w:rsidR="00EF5462">
        <w:rPr>
          <w:rFonts w:cs="Arial"/>
          <w:b/>
        </w:rPr>
        <w:tab/>
      </w:r>
      <w:r w:rsidR="001C2110">
        <w:rPr>
          <w:rFonts w:cs="Arial"/>
          <w:b/>
        </w:rPr>
        <w:t>Impact of 2016/17</w:t>
      </w:r>
      <w:r w:rsidR="00224312">
        <w:rPr>
          <w:rFonts w:cs="Arial"/>
          <w:b/>
        </w:rPr>
        <w:t xml:space="preserve"> O</w:t>
      </w:r>
      <w:r w:rsidR="008308E2" w:rsidRPr="008308E2">
        <w:rPr>
          <w:rFonts w:cs="Arial"/>
          <w:b/>
        </w:rPr>
        <w:t>utturn Forecast</w:t>
      </w:r>
    </w:p>
    <w:p w14:paraId="14131CFB" w14:textId="77777777" w:rsidR="008308E2" w:rsidRPr="008308E2" w:rsidRDefault="008308E2" w:rsidP="00B60B5D">
      <w:pPr>
        <w:spacing w:after="0"/>
        <w:ind w:right="-24"/>
        <w:rPr>
          <w:rFonts w:cs="Arial"/>
          <w:b/>
        </w:rPr>
      </w:pPr>
    </w:p>
    <w:p w14:paraId="3C4B8B45" w14:textId="76EE977F" w:rsidR="00AF109C" w:rsidRDefault="008308E2" w:rsidP="00A71A54">
      <w:pPr>
        <w:spacing w:after="0"/>
        <w:ind w:right="-24"/>
        <w:rPr>
          <w:rFonts w:cs="Arial"/>
        </w:rPr>
      </w:pPr>
      <w:r w:rsidRPr="008308E2">
        <w:rPr>
          <w:rFonts w:cs="Arial"/>
        </w:rPr>
        <w:t xml:space="preserve">The </w:t>
      </w:r>
      <w:r w:rsidR="00CB6B47">
        <w:rPr>
          <w:rFonts w:cs="Arial"/>
        </w:rPr>
        <w:t xml:space="preserve">current </w:t>
      </w:r>
      <w:r w:rsidRPr="008308E2">
        <w:rPr>
          <w:rFonts w:cs="Arial"/>
        </w:rPr>
        <w:t xml:space="preserve">monitoring report is showing </w:t>
      </w:r>
      <w:proofErr w:type="gramStart"/>
      <w:r w:rsidR="00DF1A74">
        <w:rPr>
          <w:rFonts w:cs="Arial"/>
        </w:rPr>
        <w:t>an underspend</w:t>
      </w:r>
      <w:proofErr w:type="gramEnd"/>
      <w:r w:rsidR="00DF1A74">
        <w:rPr>
          <w:rFonts w:cs="Arial"/>
        </w:rPr>
        <w:t xml:space="preserve"> </w:t>
      </w:r>
      <w:r w:rsidR="00DF1A74" w:rsidRPr="009C4325">
        <w:rPr>
          <w:rFonts w:cs="Arial"/>
        </w:rPr>
        <w:t>of £</w:t>
      </w:r>
      <w:r w:rsidR="00C03B7D">
        <w:rPr>
          <w:rFonts w:cs="Arial"/>
        </w:rPr>
        <w:t>1</w:t>
      </w:r>
      <w:r w:rsidR="00F023BE">
        <w:rPr>
          <w:rFonts w:cs="Arial"/>
        </w:rPr>
        <w:t>5.298</w:t>
      </w:r>
      <w:r w:rsidR="009C4325" w:rsidRPr="00842A08">
        <w:rPr>
          <w:rFonts w:cs="Arial"/>
        </w:rPr>
        <w:t>m</w:t>
      </w:r>
      <w:r w:rsidR="00833CDF" w:rsidRPr="002746B8">
        <w:rPr>
          <w:rFonts w:cs="Arial"/>
        </w:rPr>
        <w:t>.</w:t>
      </w:r>
      <w:r w:rsidR="00833CDF">
        <w:rPr>
          <w:rFonts w:cs="Arial"/>
        </w:rPr>
        <w:t xml:space="preserve"> Any under</w:t>
      </w:r>
      <w:r w:rsidR="00A9140F">
        <w:rPr>
          <w:rFonts w:cs="Arial"/>
        </w:rPr>
        <w:t>spend</w:t>
      </w:r>
      <w:r w:rsidR="007C4FA3">
        <w:rPr>
          <w:rFonts w:cs="Arial"/>
        </w:rPr>
        <w:t xml:space="preserve"> at the year-end</w:t>
      </w:r>
      <w:r w:rsidR="007F2790">
        <w:rPr>
          <w:rFonts w:cs="Arial"/>
        </w:rPr>
        <w:t xml:space="preserve"> </w:t>
      </w:r>
      <w:r w:rsidR="00833CDF">
        <w:rPr>
          <w:rFonts w:cs="Arial"/>
        </w:rPr>
        <w:t>can be transferred to</w:t>
      </w:r>
      <w:r w:rsidR="00834ECA">
        <w:rPr>
          <w:rFonts w:cs="Arial"/>
        </w:rPr>
        <w:t xml:space="preserve"> the</w:t>
      </w:r>
      <w:r w:rsidR="008D18C2" w:rsidRPr="00F52880">
        <w:rPr>
          <w:rFonts w:cs="Arial"/>
        </w:rPr>
        <w:t xml:space="preserve"> </w:t>
      </w:r>
      <w:r w:rsidR="00282A88">
        <w:rPr>
          <w:rFonts w:cs="Arial"/>
        </w:rPr>
        <w:t>Transitional Reserve</w:t>
      </w:r>
      <w:r w:rsidR="00005D60">
        <w:rPr>
          <w:rFonts w:cs="Arial"/>
        </w:rPr>
        <w:t>.</w:t>
      </w:r>
    </w:p>
    <w:p w14:paraId="297AF60C" w14:textId="77777777" w:rsidR="00111ECC" w:rsidRDefault="00111ECC" w:rsidP="00A71A54">
      <w:pPr>
        <w:spacing w:after="0"/>
        <w:ind w:right="-24"/>
        <w:rPr>
          <w:rFonts w:cs="Arial"/>
        </w:rPr>
      </w:pPr>
    </w:p>
    <w:p w14:paraId="7C94946A" w14:textId="77777777" w:rsidR="005451B7" w:rsidRDefault="005451B7" w:rsidP="00A71A54">
      <w:pPr>
        <w:spacing w:after="0"/>
        <w:ind w:right="-24"/>
        <w:rPr>
          <w:rFonts w:cs="Arial"/>
        </w:rPr>
      </w:pPr>
    </w:p>
    <w:p w14:paraId="6B0E93FA" w14:textId="77777777" w:rsidR="005451B7" w:rsidRDefault="005451B7" w:rsidP="00A71A54">
      <w:pPr>
        <w:spacing w:after="0"/>
        <w:ind w:right="-24"/>
        <w:rPr>
          <w:rFonts w:cs="Arial"/>
        </w:rPr>
      </w:pPr>
    </w:p>
    <w:p w14:paraId="294FC632" w14:textId="77777777" w:rsidR="005451B7" w:rsidRDefault="005451B7" w:rsidP="00A71A54">
      <w:pPr>
        <w:spacing w:after="0"/>
        <w:ind w:right="-24"/>
        <w:rPr>
          <w:rFonts w:cs="Arial"/>
        </w:rPr>
      </w:pPr>
    </w:p>
    <w:p w14:paraId="7473470D" w14:textId="77777777" w:rsidR="005451B7" w:rsidRDefault="005451B7" w:rsidP="00A71A54">
      <w:pPr>
        <w:spacing w:after="0"/>
        <w:ind w:right="-24"/>
        <w:rPr>
          <w:rFonts w:cs="Arial"/>
        </w:rPr>
      </w:pPr>
    </w:p>
    <w:p w14:paraId="0579A43A" w14:textId="77777777" w:rsidR="005451B7" w:rsidRDefault="005451B7" w:rsidP="00A71A54">
      <w:pPr>
        <w:spacing w:after="0"/>
        <w:ind w:right="-24"/>
        <w:rPr>
          <w:rFonts w:cs="Arial"/>
        </w:rPr>
      </w:pPr>
    </w:p>
    <w:p w14:paraId="269E0B21" w14:textId="77777777" w:rsidR="005451B7" w:rsidRDefault="005451B7" w:rsidP="00A71A54">
      <w:pPr>
        <w:spacing w:after="0"/>
        <w:ind w:right="-24"/>
        <w:rPr>
          <w:rFonts w:cs="Arial"/>
        </w:rPr>
      </w:pPr>
    </w:p>
    <w:p w14:paraId="181DC476" w14:textId="77777777" w:rsidR="005451B7" w:rsidRDefault="005451B7" w:rsidP="00A71A54">
      <w:pPr>
        <w:spacing w:after="0"/>
        <w:ind w:right="-24"/>
        <w:rPr>
          <w:rFonts w:cs="Arial"/>
        </w:rPr>
      </w:pPr>
    </w:p>
    <w:p w14:paraId="4906A3AE" w14:textId="77777777" w:rsidR="005451B7" w:rsidRDefault="005451B7" w:rsidP="00A71A54">
      <w:pPr>
        <w:spacing w:after="0"/>
        <w:ind w:right="-24"/>
        <w:rPr>
          <w:rFonts w:cs="Arial"/>
        </w:rPr>
      </w:pPr>
    </w:p>
    <w:p w14:paraId="1EC2289F" w14:textId="77777777" w:rsidR="005451B7" w:rsidRDefault="005451B7" w:rsidP="00A71A54">
      <w:pPr>
        <w:spacing w:after="0"/>
        <w:ind w:right="-24"/>
        <w:rPr>
          <w:rFonts w:cs="Arial"/>
        </w:rPr>
      </w:pPr>
    </w:p>
    <w:p w14:paraId="199D3082" w14:textId="77777777" w:rsidR="005451B7" w:rsidRDefault="005451B7" w:rsidP="00A71A54">
      <w:pPr>
        <w:spacing w:after="0"/>
        <w:ind w:right="-24"/>
        <w:rPr>
          <w:rFonts w:cs="Arial"/>
        </w:rPr>
      </w:pPr>
    </w:p>
    <w:p w14:paraId="3E5AAF69" w14:textId="77777777" w:rsidR="005451B7" w:rsidRDefault="005451B7" w:rsidP="00A71A54">
      <w:pPr>
        <w:spacing w:after="0"/>
        <w:ind w:right="-24"/>
        <w:rPr>
          <w:rFonts w:cs="Arial"/>
        </w:rPr>
      </w:pPr>
    </w:p>
    <w:p w14:paraId="38083439" w14:textId="77777777" w:rsidR="005451B7" w:rsidRDefault="005451B7" w:rsidP="00A71A54">
      <w:pPr>
        <w:spacing w:after="0"/>
        <w:ind w:right="-24"/>
        <w:rPr>
          <w:rFonts w:cs="Arial"/>
        </w:rPr>
      </w:pPr>
    </w:p>
    <w:p w14:paraId="2DC849D2" w14:textId="77777777" w:rsidR="005451B7" w:rsidRDefault="005451B7" w:rsidP="00A71A54">
      <w:pPr>
        <w:spacing w:after="0"/>
        <w:ind w:right="-24"/>
        <w:rPr>
          <w:rFonts w:cs="Arial"/>
        </w:rPr>
      </w:pPr>
    </w:p>
    <w:p w14:paraId="77C4D254" w14:textId="77777777" w:rsidR="005451B7" w:rsidRDefault="005451B7" w:rsidP="00A71A54">
      <w:pPr>
        <w:spacing w:after="0"/>
        <w:ind w:right="-24"/>
        <w:rPr>
          <w:rFonts w:cs="Arial"/>
        </w:rPr>
      </w:pPr>
    </w:p>
    <w:p w14:paraId="54C5E6F0" w14:textId="77777777" w:rsidR="005451B7" w:rsidRDefault="005451B7" w:rsidP="00A71A54">
      <w:pPr>
        <w:spacing w:after="0"/>
        <w:ind w:right="-24"/>
        <w:rPr>
          <w:rFonts w:cs="Arial"/>
        </w:rPr>
      </w:pPr>
    </w:p>
    <w:p w14:paraId="473959EE" w14:textId="77777777" w:rsidR="005451B7" w:rsidRDefault="005451B7" w:rsidP="00A71A54">
      <w:pPr>
        <w:spacing w:after="0"/>
        <w:ind w:right="-24"/>
        <w:rPr>
          <w:rFonts w:cs="Arial"/>
        </w:rPr>
      </w:pPr>
    </w:p>
    <w:p w14:paraId="7E3BEA01" w14:textId="77777777" w:rsidR="005451B7" w:rsidRDefault="005451B7" w:rsidP="00A71A54">
      <w:pPr>
        <w:spacing w:after="0"/>
        <w:ind w:right="-24"/>
        <w:rPr>
          <w:rFonts w:cs="Arial"/>
        </w:rPr>
      </w:pPr>
    </w:p>
    <w:p w14:paraId="5B8D33CE" w14:textId="77777777" w:rsidR="005451B7" w:rsidRDefault="005451B7" w:rsidP="00A71A54">
      <w:pPr>
        <w:spacing w:after="0"/>
        <w:ind w:right="-24"/>
        <w:rPr>
          <w:rFonts w:cs="Arial"/>
        </w:rPr>
      </w:pPr>
    </w:p>
    <w:p w14:paraId="53094106" w14:textId="77777777" w:rsidR="005451B7" w:rsidRDefault="005451B7" w:rsidP="00A71A54">
      <w:pPr>
        <w:spacing w:after="0"/>
        <w:ind w:right="-24"/>
        <w:rPr>
          <w:rFonts w:cs="Arial"/>
        </w:rPr>
      </w:pPr>
    </w:p>
    <w:p w14:paraId="25105F32" w14:textId="77777777" w:rsidR="005451B7" w:rsidRDefault="005451B7" w:rsidP="00A71A54">
      <w:pPr>
        <w:spacing w:after="0"/>
        <w:ind w:right="-24"/>
        <w:rPr>
          <w:rFonts w:cs="Arial"/>
        </w:rPr>
      </w:pPr>
    </w:p>
    <w:p w14:paraId="0020B6BE" w14:textId="77777777" w:rsidR="005451B7" w:rsidRDefault="005451B7" w:rsidP="00A71A54">
      <w:pPr>
        <w:spacing w:after="0"/>
        <w:ind w:right="-24"/>
        <w:rPr>
          <w:rFonts w:cs="Arial"/>
        </w:rPr>
      </w:pPr>
    </w:p>
    <w:p w14:paraId="020F45A2" w14:textId="77777777" w:rsidR="005451B7" w:rsidRDefault="005451B7" w:rsidP="00A71A54">
      <w:pPr>
        <w:spacing w:after="0"/>
        <w:ind w:right="-24"/>
        <w:rPr>
          <w:rFonts w:cs="Arial"/>
        </w:rPr>
      </w:pPr>
    </w:p>
    <w:p w14:paraId="52C8D121" w14:textId="77777777" w:rsidR="00775EA2" w:rsidRDefault="00775EA2" w:rsidP="00A71A54">
      <w:pPr>
        <w:spacing w:after="0"/>
        <w:ind w:right="-24"/>
        <w:rPr>
          <w:rFonts w:cs="Arial"/>
        </w:rPr>
      </w:pPr>
    </w:p>
    <w:p w14:paraId="7D0BC20A" w14:textId="77777777" w:rsidR="00775EA2" w:rsidRDefault="00775EA2" w:rsidP="00A71A54">
      <w:pPr>
        <w:spacing w:after="0"/>
        <w:ind w:right="-24"/>
        <w:rPr>
          <w:rFonts w:cs="Arial"/>
        </w:rPr>
      </w:pPr>
    </w:p>
    <w:p w14:paraId="471FFEC8" w14:textId="77777777" w:rsidR="00775EA2" w:rsidRDefault="00775EA2" w:rsidP="00A71A54">
      <w:pPr>
        <w:spacing w:after="0"/>
        <w:ind w:right="-24"/>
        <w:rPr>
          <w:rFonts w:cs="Arial"/>
        </w:rPr>
      </w:pPr>
    </w:p>
    <w:p w14:paraId="1EEF0A95" w14:textId="77777777" w:rsidR="005451B7" w:rsidRDefault="005451B7" w:rsidP="00A71A54">
      <w:pPr>
        <w:spacing w:after="0"/>
        <w:ind w:right="-24"/>
        <w:rPr>
          <w:rFonts w:cs="Arial"/>
        </w:rPr>
      </w:pPr>
    </w:p>
    <w:p w14:paraId="5375B6DB" w14:textId="77777777" w:rsidR="005451B7" w:rsidRDefault="005451B7" w:rsidP="00A71A54">
      <w:pPr>
        <w:spacing w:after="0"/>
        <w:ind w:right="-24"/>
        <w:rPr>
          <w:rFonts w:cs="Arial"/>
        </w:rPr>
      </w:pPr>
    </w:p>
    <w:p w14:paraId="65F4C71C" w14:textId="77777777" w:rsidR="005451B7" w:rsidRDefault="005451B7" w:rsidP="00A71A54">
      <w:pPr>
        <w:spacing w:after="0"/>
        <w:ind w:right="-24"/>
        <w:rPr>
          <w:rFonts w:cs="Arial"/>
        </w:rPr>
      </w:pPr>
    </w:p>
    <w:p w14:paraId="7A8773B5" w14:textId="77777777" w:rsidR="005451B7" w:rsidRDefault="005451B7" w:rsidP="00A71A54">
      <w:pPr>
        <w:spacing w:after="0"/>
        <w:ind w:right="-24"/>
        <w:rPr>
          <w:rFonts w:cs="Arial"/>
        </w:rPr>
      </w:pPr>
    </w:p>
    <w:p w14:paraId="396ECE3B" w14:textId="77777777" w:rsidR="005451B7" w:rsidRDefault="005451B7" w:rsidP="00A71A54">
      <w:pPr>
        <w:spacing w:after="0"/>
        <w:ind w:right="-24"/>
        <w:rPr>
          <w:rFonts w:cs="Arial"/>
        </w:rPr>
      </w:pPr>
    </w:p>
    <w:p w14:paraId="1F9D2D5E" w14:textId="77777777" w:rsidR="005451B7" w:rsidRDefault="005451B7" w:rsidP="00A71A54">
      <w:pPr>
        <w:spacing w:after="0"/>
        <w:ind w:right="-24"/>
        <w:rPr>
          <w:rFonts w:cs="Arial"/>
        </w:rPr>
      </w:pPr>
    </w:p>
    <w:p w14:paraId="1B63D1E3" w14:textId="77777777" w:rsidR="00D04FFA" w:rsidRDefault="00D04FFA" w:rsidP="00A71A54">
      <w:pPr>
        <w:spacing w:after="0"/>
        <w:ind w:right="-24"/>
        <w:rPr>
          <w:rFonts w:cs="Arial"/>
        </w:rPr>
      </w:pPr>
    </w:p>
    <w:p w14:paraId="08F8C180" w14:textId="3C8E3CEF" w:rsidR="000E5450" w:rsidRDefault="00492941" w:rsidP="000E5450">
      <w:pPr>
        <w:spacing w:after="0"/>
        <w:ind w:right="-24"/>
        <w:rPr>
          <w:rFonts w:cs="Arial"/>
          <w:b/>
        </w:rPr>
      </w:pPr>
      <w:r>
        <w:rPr>
          <w:rFonts w:cs="Arial"/>
          <w:b/>
        </w:rPr>
        <w:lastRenderedPageBreak/>
        <w:t>4</w:t>
      </w:r>
      <w:r w:rsidR="000E5450">
        <w:rPr>
          <w:rFonts w:cs="Arial"/>
          <w:b/>
        </w:rPr>
        <w:t>.</w:t>
      </w:r>
      <w:r w:rsidR="000E5450">
        <w:rPr>
          <w:rFonts w:cs="Arial"/>
          <w:b/>
        </w:rPr>
        <w:tab/>
        <w:t>Transfers between Reserves</w:t>
      </w:r>
    </w:p>
    <w:p w14:paraId="10A5284A" w14:textId="77777777" w:rsidR="005451B7" w:rsidRDefault="005451B7" w:rsidP="005451B7">
      <w:pPr>
        <w:spacing w:after="0"/>
        <w:ind w:right="-24"/>
        <w:rPr>
          <w:noProof/>
          <w:lang w:eastAsia="en-GB"/>
        </w:rPr>
      </w:pPr>
    </w:p>
    <w:p w14:paraId="0C0B4519" w14:textId="6AFD6885" w:rsidR="005451B7" w:rsidRDefault="005451B7" w:rsidP="005451B7">
      <w:pPr>
        <w:spacing w:after="0"/>
        <w:ind w:right="-24"/>
        <w:rPr>
          <w:noProof/>
          <w:lang w:eastAsia="en-GB"/>
        </w:rPr>
      </w:pPr>
      <w:r>
        <w:rPr>
          <w:noProof/>
          <w:lang w:eastAsia="en-GB"/>
        </w:rPr>
        <w:t>In the previous reports to Cabinet in September and December the transfers below were agreed between reserves:</w:t>
      </w:r>
    </w:p>
    <w:p w14:paraId="21EF09F6" w14:textId="77777777" w:rsidR="005451B7" w:rsidRDefault="005451B7" w:rsidP="005451B7">
      <w:pPr>
        <w:spacing w:after="0"/>
        <w:ind w:right="-24"/>
        <w:rPr>
          <w:noProof/>
          <w:lang w:eastAsia="en-GB"/>
        </w:rPr>
      </w:pPr>
    </w:p>
    <w:p w14:paraId="6117199D" w14:textId="093B8CEF" w:rsidR="005451B7" w:rsidRDefault="005451B7" w:rsidP="005451B7">
      <w:pPr>
        <w:spacing w:after="0"/>
        <w:ind w:right="-24"/>
        <w:rPr>
          <w:noProof/>
          <w:lang w:eastAsia="en-GB"/>
        </w:rPr>
      </w:pPr>
      <w:r w:rsidRPr="005451B7">
        <w:rPr>
          <w:noProof/>
          <w:lang w:eastAsia="en-GB"/>
        </w:rPr>
        <w:drawing>
          <wp:inline distT="0" distB="0" distL="0" distR="0" wp14:anchorId="77F01244" wp14:editId="0295E262">
            <wp:extent cx="6668810" cy="56990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5952" cy="5730792"/>
                    </a:xfrm>
                    <a:prstGeom prst="rect">
                      <a:avLst/>
                    </a:prstGeom>
                    <a:noFill/>
                    <a:ln>
                      <a:noFill/>
                    </a:ln>
                  </pic:spPr>
                </pic:pic>
              </a:graphicData>
            </a:graphic>
          </wp:inline>
        </w:drawing>
      </w:r>
    </w:p>
    <w:p w14:paraId="5A820473" w14:textId="77777777" w:rsidR="005451B7" w:rsidRDefault="005451B7" w:rsidP="000E5450">
      <w:pPr>
        <w:spacing w:after="0"/>
        <w:ind w:right="-24"/>
        <w:rPr>
          <w:rFonts w:cs="Arial"/>
          <w:b/>
        </w:rPr>
      </w:pPr>
    </w:p>
    <w:p w14:paraId="39109DF3" w14:textId="597BC656" w:rsidR="000E5450" w:rsidRPr="005451B7" w:rsidRDefault="004C6828" w:rsidP="005451B7">
      <w:pPr>
        <w:pStyle w:val="PlainText"/>
        <w:ind w:right="-24"/>
        <w:rPr>
          <w:rFonts w:ascii="Arial" w:hAnsi="Arial" w:cs="Arial"/>
          <w:sz w:val="24"/>
          <w:szCs w:val="24"/>
        </w:rPr>
      </w:pPr>
      <w:r w:rsidRPr="00A064CA">
        <w:rPr>
          <w:rFonts w:ascii="Arial" w:hAnsi="Arial" w:cs="Arial"/>
          <w:sz w:val="24"/>
          <w:szCs w:val="24"/>
        </w:rPr>
        <w:t xml:space="preserve">A further review of reserves held has identified </w:t>
      </w:r>
      <w:r>
        <w:rPr>
          <w:rFonts w:ascii="Arial" w:hAnsi="Arial" w:cs="Arial"/>
          <w:sz w:val="24"/>
          <w:szCs w:val="24"/>
        </w:rPr>
        <w:t>additional transfer</w:t>
      </w:r>
      <w:r w:rsidRPr="00A064CA">
        <w:rPr>
          <w:rFonts w:ascii="Arial" w:hAnsi="Arial" w:cs="Arial"/>
          <w:sz w:val="24"/>
          <w:szCs w:val="24"/>
        </w:rPr>
        <w:t xml:space="preserve"> between reserves </w:t>
      </w:r>
      <w:r>
        <w:rPr>
          <w:rFonts w:ascii="Arial" w:hAnsi="Arial" w:cs="Arial"/>
          <w:sz w:val="24"/>
          <w:szCs w:val="24"/>
        </w:rPr>
        <w:t>has been included in this report</w:t>
      </w:r>
      <w:r w:rsidRPr="00A064CA">
        <w:rPr>
          <w:rFonts w:ascii="Arial" w:hAnsi="Arial" w:cs="Arial"/>
          <w:sz w:val="24"/>
          <w:szCs w:val="24"/>
        </w:rPr>
        <w:t>:</w:t>
      </w:r>
    </w:p>
    <w:p w14:paraId="25F42D65" w14:textId="70D0C8AF" w:rsidR="00CC2531" w:rsidRDefault="00CC2531" w:rsidP="00B60B5D">
      <w:pPr>
        <w:pStyle w:val="PlainText"/>
        <w:ind w:right="-24"/>
        <w:rPr>
          <w:rFonts w:ascii="Arial" w:hAnsi="Arial" w:cs="Arial"/>
          <w:sz w:val="24"/>
          <w:szCs w:val="24"/>
        </w:rPr>
      </w:pPr>
    </w:p>
    <w:p w14:paraId="6BDDB4A1" w14:textId="3E382C3B" w:rsidR="004C6828" w:rsidRPr="00876B26" w:rsidRDefault="00775EA2" w:rsidP="00B60B5D">
      <w:pPr>
        <w:pStyle w:val="PlainText"/>
        <w:ind w:right="-24"/>
        <w:rPr>
          <w:rFonts w:ascii="Arial" w:hAnsi="Arial" w:cs="Arial"/>
          <w:sz w:val="24"/>
          <w:szCs w:val="24"/>
        </w:rPr>
        <w:sectPr w:rsidR="004C6828" w:rsidRPr="00876B26" w:rsidSect="00365603">
          <w:pgSz w:w="11906" w:h="16838"/>
          <w:pgMar w:top="1440" w:right="1440" w:bottom="1440" w:left="1134" w:header="709" w:footer="709" w:gutter="0"/>
          <w:cols w:space="708"/>
          <w:docGrid w:linePitch="360"/>
        </w:sectPr>
      </w:pPr>
      <w:r w:rsidRPr="00775EA2">
        <w:drawing>
          <wp:inline distT="0" distB="0" distL="0" distR="0" wp14:anchorId="151E05FE" wp14:editId="538582C8">
            <wp:extent cx="6649810" cy="113768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10386" cy="1148047"/>
                    </a:xfrm>
                    <a:prstGeom prst="rect">
                      <a:avLst/>
                    </a:prstGeom>
                    <a:noFill/>
                    <a:ln>
                      <a:noFill/>
                    </a:ln>
                  </pic:spPr>
                </pic:pic>
              </a:graphicData>
            </a:graphic>
          </wp:inline>
        </w:drawing>
      </w:r>
    </w:p>
    <w:p w14:paraId="621275EE" w14:textId="4F3C5910" w:rsidR="00B81DFC" w:rsidRDefault="00AF109C" w:rsidP="00365603">
      <w:pPr>
        <w:spacing w:after="0"/>
        <w:ind w:right="66"/>
        <w:jc w:val="right"/>
        <w:rPr>
          <w:rFonts w:eastAsia="Arial Unicode MS" w:cs="Arial"/>
          <w:b/>
          <w:u w:color="000000"/>
          <w:lang w:eastAsia="en-GB"/>
        </w:rPr>
      </w:pPr>
      <w:r>
        <w:rPr>
          <w:rFonts w:eastAsia="Arial Unicode MS" w:cs="Arial"/>
          <w:b/>
          <w:u w:color="000000"/>
          <w:lang w:eastAsia="en-GB"/>
        </w:rPr>
        <w:lastRenderedPageBreak/>
        <w:t xml:space="preserve"> </w:t>
      </w:r>
      <w:r w:rsidR="00365603">
        <w:rPr>
          <w:rFonts w:eastAsia="Arial Unicode MS" w:cs="Arial"/>
          <w:b/>
          <w:u w:color="000000"/>
          <w:lang w:eastAsia="en-GB"/>
        </w:rPr>
        <w:t xml:space="preserve">Annex </w:t>
      </w:r>
      <w:proofErr w:type="gramStart"/>
      <w:r w:rsidR="00365603">
        <w:rPr>
          <w:rFonts w:eastAsia="Arial Unicode MS" w:cs="Arial"/>
          <w:b/>
          <w:u w:color="000000"/>
          <w:lang w:eastAsia="en-GB"/>
        </w:rPr>
        <w:t>A</w:t>
      </w:r>
      <w:proofErr w:type="gramEnd"/>
      <w:r w:rsidR="00365603">
        <w:rPr>
          <w:rFonts w:eastAsia="Arial Unicode MS" w:cs="Arial"/>
          <w:b/>
          <w:u w:color="000000"/>
          <w:lang w:eastAsia="en-GB"/>
        </w:rPr>
        <w:t xml:space="preserve"> – Strategic Investment Reserve</w:t>
      </w:r>
    </w:p>
    <w:p w14:paraId="7A166CAF" w14:textId="77777777" w:rsidR="00A64EFD" w:rsidRDefault="00A64EFD" w:rsidP="00A64EFD">
      <w:pPr>
        <w:spacing w:after="0"/>
        <w:ind w:right="66"/>
        <w:jc w:val="center"/>
        <w:rPr>
          <w:rFonts w:eastAsia="Arial Unicode MS" w:cs="Arial"/>
          <w:b/>
          <w:u w:color="000000"/>
          <w:lang w:eastAsia="en-GB"/>
        </w:rPr>
      </w:pPr>
    </w:p>
    <w:p w14:paraId="319346F8" w14:textId="77777777" w:rsidR="00A64EFD" w:rsidRDefault="00A64EFD" w:rsidP="00365603">
      <w:pPr>
        <w:spacing w:after="0"/>
        <w:ind w:right="66"/>
        <w:jc w:val="right"/>
        <w:rPr>
          <w:rFonts w:eastAsia="Arial Unicode MS" w:cs="Arial"/>
          <w:b/>
          <w:u w:color="000000"/>
          <w:lang w:eastAsia="en-GB"/>
        </w:rPr>
      </w:pPr>
    </w:p>
    <w:tbl>
      <w:tblPr>
        <w:tblW w:w="14041" w:type="dxa"/>
        <w:tblLook w:val="04A0" w:firstRow="1" w:lastRow="0" w:firstColumn="1" w:lastColumn="0" w:noHBand="0" w:noVBand="1"/>
      </w:tblPr>
      <w:tblGrid>
        <w:gridCol w:w="3603"/>
        <w:gridCol w:w="1630"/>
        <w:gridCol w:w="1262"/>
        <w:gridCol w:w="1288"/>
        <w:gridCol w:w="1262"/>
        <w:gridCol w:w="1236"/>
        <w:gridCol w:w="1236"/>
        <w:gridCol w:w="1236"/>
        <w:gridCol w:w="1288"/>
      </w:tblGrid>
      <w:tr w:rsidR="000B51FA" w:rsidRPr="000B51FA" w14:paraId="52362D49" w14:textId="77777777" w:rsidTr="000B51FA">
        <w:trPr>
          <w:trHeight w:val="1283"/>
        </w:trPr>
        <w:tc>
          <w:tcPr>
            <w:tcW w:w="360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6484AE0" w14:textId="77777777" w:rsidR="000B51FA" w:rsidRPr="000B51FA" w:rsidRDefault="000B51FA" w:rsidP="000B51FA">
            <w:pPr>
              <w:autoSpaceDE/>
              <w:autoSpaceDN/>
              <w:adjustRightInd/>
              <w:spacing w:after="0"/>
              <w:jc w:val="left"/>
              <w:rPr>
                <w:rFonts w:eastAsia="Times New Roman" w:cs="Arial"/>
                <w:b/>
                <w:bCs/>
                <w:sz w:val="18"/>
                <w:szCs w:val="18"/>
                <w:lang w:eastAsia="en-GB"/>
              </w:rPr>
            </w:pPr>
            <w:r w:rsidRPr="000B51FA">
              <w:rPr>
                <w:rFonts w:eastAsia="Times New Roman" w:cs="Arial"/>
                <w:b/>
                <w:bCs/>
                <w:sz w:val="18"/>
                <w:szCs w:val="18"/>
                <w:lang w:eastAsia="en-GB"/>
              </w:rPr>
              <w:t>STRATEGIC INVESTMENT RESERVE</w:t>
            </w:r>
          </w:p>
        </w:tc>
        <w:tc>
          <w:tcPr>
            <w:tcW w:w="1630" w:type="dxa"/>
            <w:tcBorders>
              <w:top w:val="single" w:sz="4" w:space="0" w:color="auto"/>
              <w:left w:val="nil"/>
              <w:bottom w:val="single" w:sz="4" w:space="0" w:color="auto"/>
              <w:right w:val="single" w:sz="4" w:space="0" w:color="auto"/>
            </w:tcBorders>
            <w:shd w:val="clear" w:color="000000" w:fill="BFBFBF"/>
            <w:vAlign w:val="center"/>
            <w:hideMark/>
          </w:tcPr>
          <w:p w14:paraId="2E6D589B"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Opening Balance as at 1 April 2016</w:t>
            </w:r>
          </w:p>
        </w:tc>
        <w:tc>
          <w:tcPr>
            <w:tcW w:w="1262" w:type="dxa"/>
            <w:tcBorders>
              <w:top w:val="single" w:sz="4" w:space="0" w:color="auto"/>
              <w:left w:val="nil"/>
              <w:bottom w:val="single" w:sz="4" w:space="0" w:color="auto"/>
              <w:right w:val="single" w:sz="4" w:space="0" w:color="auto"/>
            </w:tcBorders>
            <w:shd w:val="clear" w:color="000000" w:fill="BFBFBF"/>
            <w:vAlign w:val="center"/>
            <w:hideMark/>
          </w:tcPr>
          <w:p w14:paraId="33ECF4FF"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2016-17 Forecast Spend</w:t>
            </w:r>
          </w:p>
        </w:tc>
        <w:tc>
          <w:tcPr>
            <w:tcW w:w="1288" w:type="dxa"/>
            <w:tcBorders>
              <w:top w:val="single" w:sz="4" w:space="0" w:color="auto"/>
              <w:left w:val="nil"/>
              <w:bottom w:val="single" w:sz="4" w:space="0" w:color="auto"/>
              <w:right w:val="single" w:sz="4" w:space="0" w:color="auto"/>
            </w:tcBorders>
            <w:shd w:val="clear" w:color="000000" w:fill="BFBFBF"/>
            <w:vAlign w:val="center"/>
            <w:hideMark/>
          </w:tcPr>
          <w:p w14:paraId="247FA771"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2016-17 Transfers to / from other reserves</w:t>
            </w:r>
          </w:p>
        </w:tc>
        <w:tc>
          <w:tcPr>
            <w:tcW w:w="1262" w:type="dxa"/>
            <w:tcBorders>
              <w:top w:val="single" w:sz="4" w:space="0" w:color="auto"/>
              <w:left w:val="nil"/>
              <w:bottom w:val="single" w:sz="4" w:space="0" w:color="auto"/>
              <w:right w:val="single" w:sz="4" w:space="0" w:color="auto"/>
            </w:tcBorders>
            <w:shd w:val="clear" w:color="000000" w:fill="BFBFBF"/>
            <w:vAlign w:val="center"/>
            <w:hideMark/>
          </w:tcPr>
          <w:p w14:paraId="5047547F"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2016-17 Forecast Closing Balance</w:t>
            </w:r>
          </w:p>
        </w:tc>
        <w:tc>
          <w:tcPr>
            <w:tcW w:w="1236" w:type="dxa"/>
            <w:tcBorders>
              <w:top w:val="single" w:sz="4" w:space="0" w:color="auto"/>
              <w:left w:val="nil"/>
              <w:bottom w:val="single" w:sz="4" w:space="0" w:color="auto"/>
              <w:right w:val="single" w:sz="4" w:space="0" w:color="auto"/>
            </w:tcBorders>
            <w:shd w:val="clear" w:color="000000" w:fill="BFBFBF"/>
            <w:vAlign w:val="center"/>
            <w:hideMark/>
          </w:tcPr>
          <w:p w14:paraId="5B8159B0" w14:textId="7A065A92" w:rsidR="000B51FA" w:rsidRPr="000B51FA" w:rsidRDefault="00705FAF" w:rsidP="000B51FA">
            <w:pPr>
              <w:autoSpaceDE/>
              <w:autoSpaceDN/>
              <w:adjustRightInd/>
              <w:spacing w:after="0"/>
              <w:jc w:val="center"/>
              <w:rPr>
                <w:rFonts w:eastAsia="Times New Roman" w:cs="Arial"/>
                <w:b/>
                <w:bCs/>
                <w:sz w:val="16"/>
                <w:szCs w:val="16"/>
                <w:lang w:eastAsia="en-GB"/>
              </w:rPr>
            </w:pPr>
            <w:r>
              <w:rPr>
                <w:rFonts w:eastAsia="Times New Roman" w:cs="Arial"/>
                <w:b/>
                <w:bCs/>
                <w:sz w:val="16"/>
                <w:szCs w:val="16"/>
                <w:lang w:eastAsia="en-GB"/>
              </w:rPr>
              <w:t>2017-18</w:t>
            </w:r>
            <w:r w:rsidR="000B51FA" w:rsidRPr="000B51FA">
              <w:rPr>
                <w:rFonts w:eastAsia="Times New Roman" w:cs="Arial"/>
                <w:b/>
                <w:bCs/>
                <w:sz w:val="16"/>
                <w:szCs w:val="16"/>
                <w:lang w:eastAsia="en-GB"/>
              </w:rPr>
              <w:t xml:space="preserve"> Forecast Spend</w:t>
            </w:r>
          </w:p>
        </w:tc>
        <w:tc>
          <w:tcPr>
            <w:tcW w:w="1236" w:type="dxa"/>
            <w:tcBorders>
              <w:top w:val="single" w:sz="4" w:space="0" w:color="auto"/>
              <w:left w:val="nil"/>
              <w:bottom w:val="single" w:sz="4" w:space="0" w:color="auto"/>
              <w:right w:val="single" w:sz="4" w:space="0" w:color="auto"/>
            </w:tcBorders>
            <w:shd w:val="clear" w:color="000000" w:fill="BFBFBF"/>
            <w:vAlign w:val="center"/>
            <w:hideMark/>
          </w:tcPr>
          <w:p w14:paraId="0C5A8EB4"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2018-19 Forecast Spend</w:t>
            </w:r>
          </w:p>
        </w:tc>
        <w:tc>
          <w:tcPr>
            <w:tcW w:w="1236" w:type="dxa"/>
            <w:tcBorders>
              <w:top w:val="single" w:sz="4" w:space="0" w:color="auto"/>
              <w:left w:val="nil"/>
              <w:bottom w:val="single" w:sz="4" w:space="0" w:color="auto"/>
              <w:right w:val="single" w:sz="4" w:space="0" w:color="auto"/>
            </w:tcBorders>
            <w:shd w:val="clear" w:color="000000" w:fill="BFBFBF"/>
            <w:vAlign w:val="center"/>
            <w:hideMark/>
          </w:tcPr>
          <w:p w14:paraId="09215A19"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2019-20 Forecast Spend</w:t>
            </w:r>
          </w:p>
        </w:tc>
        <w:tc>
          <w:tcPr>
            <w:tcW w:w="1288" w:type="dxa"/>
            <w:tcBorders>
              <w:top w:val="single" w:sz="4" w:space="0" w:color="auto"/>
              <w:left w:val="nil"/>
              <w:bottom w:val="single" w:sz="4" w:space="0" w:color="auto"/>
              <w:right w:val="single" w:sz="4" w:space="0" w:color="auto"/>
            </w:tcBorders>
            <w:shd w:val="clear" w:color="000000" w:fill="BFBFBF"/>
            <w:vAlign w:val="center"/>
            <w:hideMark/>
          </w:tcPr>
          <w:p w14:paraId="5F8A283A"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Total as at               31 March 2020</w:t>
            </w:r>
          </w:p>
        </w:tc>
      </w:tr>
      <w:tr w:rsidR="000B51FA" w:rsidRPr="000B51FA" w14:paraId="18B69991" w14:textId="77777777" w:rsidTr="000B51FA">
        <w:trPr>
          <w:trHeight w:val="256"/>
        </w:trPr>
        <w:tc>
          <w:tcPr>
            <w:tcW w:w="3603" w:type="dxa"/>
            <w:tcBorders>
              <w:top w:val="nil"/>
              <w:left w:val="single" w:sz="4" w:space="0" w:color="auto"/>
              <w:bottom w:val="single" w:sz="4" w:space="0" w:color="auto"/>
              <w:right w:val="single" w:sz="4" w:space="0" w:color="auto"/>
            </w:tcBorders>
            <w:shd w:val="clear" w:color="000000" w:fill="BFBFBF"/>
            <w:vAlign w:val="center"/>
            <w:hideMark/>
          </w:tcPr>
          <w:p w14:paraId="037418CC" w14:textId="77777777" w:rsidR="000B51FA" w:rsidRPr="000B51FA" w:rsidRDefault="000B51FA" w:rsidP="000B51FA">
            <w:pPr>
              <w:autoSpaceDE/>
              <w:autoSpaceDN/>
              <w:adjustRightInd/>
              <w:spacing w:after="0"/>
              <w:jc w:val="left"/>
              <w:rPr>
                <w:rFonts w:eastAsia="Times New Roman" w:cs="Arial"/>
                <w:b/>
                <w:bCs/>
                <w:sz w:val="16"/>
                <w:szCs w:val="16"/>
                <w:lang w:eastAsia="en-GB"/>
              </w:rPr>
            </w:pPr>
            <w:r w:rsidRPr="000B51FA">
              <w:rPr>
                <w:rFonts w:eastAsia="Times New Roman" w:cs="Arial"/>
                <w:b/>
                <w:bCs/>
                <w:sz w:val="16"/>
                <w:szCs w:val="16"/>
                <w:lang w:eastAsia="en-GB"/>
              </w:rPr>
              <w:t> </w:t>
            </w:r>
          </w:p>
        </w:tc>
        <w:tc>
          <w:tcPr>
            <w:tcW w:w="1630" w:type="dxa"/>
            <w:tcBorders>
              <w:top w:val="nil"/>
              <w:left w:val="nil"/>
              <w:bottom w:val="single" w:sz="4" w:space="0" w:color="auto"/>
              <w:right w:val="single" w:sz="4" w:space="0" w:color="auto"/>
            </w:tcBorders>
            <w:shd w:val="clear" w:color="000000" w:fill="BFBFBF"/>
            <w:noWrap/>
            <w:vAlign w:val="center"/>
            <w:hideMark/>
          </w:tcPr>
          <w:p w14:paraId="17E80455"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£m</w:t>
            </w:r>
          </w:p>
        </w:tc>
        <w:tc>
          <w:tcPr>
            <w:tcW w:w="1262" w:type="dxa"/>
            <w:tcBorders>
              <w:top w:val="nil"/>
              <w:left w:val="nil"/>
              <w:bottom w:val="single" w:sz="4" w:space="0" w:color="auto"/>
              <w:right w:val="single" w:sz="4" w:space="0" w:color="auto"/>
            </w:tcBorders>
            <w:shd w:val="clear" w:color="000000" w:fill="BFBFBF"/>
            <w:noWrap/>
            <w:vAlign w:val="center"/>
            <w:hideMark/>
          </w:tcPr>
          <w:p w14:paraId="3AFAE986"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£m</w:t>
            </w:r>
          </w:p>
        </w:tc>
        <w:tc>
          <w:tcPr>
            <w:tcW w:w="1288" w:type="dxa"/>
            <w:tcBorders>
              <w:top w:val="nil"/>
              <w:left w:val="nil"/>
              <w:bottom w:val="single" w:sz="4" w:space="0" w:color="auto"/>
              <w:right w:val="single" w:sz="4" w:space="0" w:color="auto"/>
            </w:tcBorders>
            <w:shd w:val="clear" w:color="000000" w:fill="BFBFBF"/>
            <w:noWrap/>
            <w:vAlign w:val="center"/>
            <w:hideMark/>
          </w:tcPr>
          <w:p w14:paraId="46DD9FCF"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£m</w:t>
            </w:r>
          </w:p>
        </w:tc>
        <w:tc>
          <w:tcPr>
            <w:tcW w:w="1262" w:type="dxa"/>
            <w:tcBorders>
              <w:top w:val="nil"/>
              <w:left w:val="nil"/>
              <w:bottom w:val="single" w:sz="4" w:space="0" w:color="auto"/>
              <w:right w:val="single" w:sz="4" w:space="0" w:color="auto"/>
            </w:tcBorders>
            <w:shd w:val="clear" w:color="000000" w:fill="BFBFBF"/>
            <w:noWrap/>
            <w:vAlign w:val="center"/>
            <w:hideMark/>
          </w:tcPr>
          <w:p w14:paraId="3F4891C7"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£m</w:t>
            </w:r>
          </w:p>
        </w:tc>
        <w:tc>
          <w:tcPr>
            <w:tcW w:w="1236" w:type="dxa"/>
            <w:tcBorders>
              <w:top w:val="nil"/>
              <w:left w:val="nil"/>
              <w:bottom w:val="single" w:sz="4" w:space="0" w:color="auto"/>
              <w:right w:val="single" w:sz="4" w:space="0" w:color="auto"/>
            </w:tcBorders>
            <w:shd w:val="clear" w:color="000000" w:fill="BFBFBF"/>
            <w:noWrap/>
            <w:vAlign w:val="center"/>
            <w:hideMark/>
          </w:tcPr>
          <w:p w14:paraId="5E0D675E"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£m</w:t>
            </w:r>
          </w:p>
        </w:tc>
        <w:tc>
          <w:tcPr>
            <w:tcW w:w="1236" w:type="dxa"/>
            <w:tcBorders>
              <w:top w:val="nil"/>
              <w:left w:val="nil"/>
              <w:bottom w:val="single" w:sz="4" w:space="0" w:color="auto"/>
              <w:right w:val="single" w:sz="4" w:space="0" w:color="auto"/>
            </w:tcBorders>
            <w:shd w:val="clear" w:color="000000" w:fill="BFBFBF"/>
            <w:noWrap/>
            <w:vAlign w:val="center"/>
            <w:hideMark/>
          </w:tcPr>
          <w:p w14:paraId="43436674"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£m</w:t>
            </w:r>
          </w:p>
        </w:tc>
        <w:tc>
          <w:tcPr>
            <w:tcW w:w="1236" w:type="dxa"/>
            <w:tcBorders>
              <w:top w:val="nil"/>
              <w:left w:val="nil"/>
              <w:bottom w:val="single" w:sz="4" w:space="0" w:color="auto"/>
              <w:right w:val="single" w:sz="4" w:space="0" w:color="auto"/>
            </w:tcBorders>
            <w:shd w:val="clear" w:color="000000" w:fill="BFBFBF"/>
            <w:noWrap/>
            <w:vAlign w:val="center"/>
            <w:hideMark/>
          </w:tcPr>
          <w:p w14:paraId="0BBE39CC"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£m</w:t>
            </w:r>
          </w:p>
        </w:tc>
        <w:tc>
          <w:tcPr>
            <w:tcW w:w="1288" w:type="dxa"/>
            <w:tcBorders>
              <w:top w:val="nil"/>
              <w:left w:val="nil"/>
              <w:bottom w:val="single" w:sz="4" w:space="0" w:color="auto"/>
              <w:right w:val="single" w:sz="4" w:space="0" w:color="auto"/>
            </w:tcBorders>
            <w:shd w:val="clear" w:color="000000" w:fill="BFBFBF"/>
            <w:noWrap/>
            <w:vAlign w:val="center"/>
            <w:hideMark/>
          </w:tcPr>
          <w:p w14:paraId="1BBC0FCB"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£m</w:t>
            </w:r>
          </w:p>
        </w:tc>
      </w:tr>
      <w:tr w:rsidR="004C6828" w:rsidRPr="000B51FA" w14:paraId="54FAF220" w14:textId="77777777" w:rsidTr="000B51FA">
        <w:trPr>
          <w:trHeight w:val="616"/>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302E19B5" w14:textId="77777777" w:rsidR="004C6828" w:rsidRPr="000B51FA" w:rsidRDefault="004C6828" w:rsidP="004C6828">
            <w:pPr>
              <w:autoSpaceDE/>
              <w:autoSpaceDN/>
              <w:adjustRightInd/>
              <w:spacing w:after="0"/>
              <w:jc w:val="left"/>
              <w:rPr>
                <w:rFonts w:eastAsia="Times New Roman" w:cs="Arial"/>
                <w:sz w:val="16"/>
                <w:szCs w:val="16"/>
                <w:lang w:eastAsia="en-GB"/>
              </w:rPr>
            </w:pPr>
            <w:r w:rsidRPr="000B51FA">
              <w:rPr>
                <w:rFonts w:eastAsia="Times New Roman" w:cs="Arial"/>
                <w:sz w:val="16"/>
                <w:szCs w:val="16"/>
                <w:lang w:eastAsia="en-GB"/>
              </w:rPr>
              <w:t>Promoting Sustainable Employment for Young People</w:t>
            </w:r>
          </w:p>
        </w:tc>
        <w:tc>
          <w:tcPr>
            <w:tcW w:w="1630" w:type="dxa"/>
            <w:tcBorders>
              <w:top w:val="nil"/>
              <w:left w:val="nil"/>
              <w:bottom w:val="single" w:sz="4" w:space="0" w:color="auto"/>
              <w:right w:val="single" w:sz="4" w:space="0" w:color="auto"/>
            </w:tcBorders>
            <w:shd w:val="clear" w:color="auto" w:fill="auto"/>
            <w:noWrap/>
            <w:vAlign w:val="center"/>
            <w:hideMark/>
          </w:tcPr>
          <w:p w14:paraId="739CF9E9" w14:textId="0AABCCB0"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-0.304</w:t>
            </w:r>
          </w:p>
        </w:tc>
        <w:tc>
          <w:tcPr>
            <w:tcW w:w="1262" w:type="dxa"/>
            <w:tcBorders>
              <w:top w:val="nil"/>
              <w:left w:val="nil"/>
              <w:bottom w:val="single" w:sz="4" w:space="0" w:color="auto"/>
              <w:right w:val="single" w:sz="4" w:space="0" w:color="auto"/>
            </w:tcBorders>
            <w:shd w:val="clear" w:color="auto" w:fill="auto"/>
            <w:noWrap/>
            <w:vAlign w:val="center"/>
            <w:hideMark/>
          </w:tcPr>
          <w:p w14:paraId="682C5295" w14:textId="2D807FA0"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0.304</w:t>
            </w:r>
          </w:p>
        </w:tc>
        <w:tc>
          <w:tcPr>
            <w:tcW w:w="1288" w:type="dxa"/>
            <w:tcBorders>
              <w:top w:val="nil"/>
              <w:left w:val="nil"/>
              <w:bottom w:val="single" w:sz="4" w:space="0" w:color="auto"/>
              <w:right w:val="single" w:sz="4" w:space="0" w:color="auto"/>
            </w:tcBorders>
            <w:shd w:val="clear" w:color="auto" w:fill="auto"/>
            <w:noWrap/>
            <w:vAlign w:val="center"/>
            <w:hideMark/>
          </w:tcPr>
          <w:p w14:paraId="0769108C" w14:textId="437AA238"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62" w:type="dxa"/>
            <w:tcBorders>
              <w:top w:val="nil"/>
              <w:left w:val="nil"/>
              <w:bottom w:val="single" w:sz="4" w:space="0" w:color="auto"/>
              <w:right w:val="single" w:sz="4" w:space="0" w:color="auto"/>
            </w:tcBorders>
            <w:shd w:val="clear" w:color="000000" w:fill="BFBFBF"/>
            <w:noWrap/>
            <w:vAlign w:val="center"/>
            <w:hideMark/>
          </w:tcPr>
          <w:p w14:paraId="64AC8C58" w14:textId="7B2A9D05"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4A9102BB" w14:textId="46215F9E"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382295F4" w14:textId="75F28C64"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21DF7933" w14:textId="3CE446B4"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88" w:type="dxa"/>
            <w:tcBorders>
              <w:top w:val="nil"/>
              <w:left w:val="nil"/>
              <w:bottom w:val="single" w:sz="4" w:space="0" w:color="auto"/>
              <w:right w:val="single" w:sz="4" w:space="0" w:color="auto"/>
            </w:tcBorders>
            <w:shd w:val="clear" w:color="000000" w:fill="BFBFBF"/>
            <w:noWrap/>
            <w:vAlign w:val="center"/>
            <w:hideMark/>
          </w:tcPr>
          <w:p w14:paraId="15395EEA" w14:textId="70726101"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0.000</w:t>
            </w:r>
          </w:p>
        </w:tc>
      </w:tr>
      <w:tr w:rsidR="004C6828" w:rsidRPr="000B51FA" w14:paraId="59457072" w14:textId="77777777" w:rsidTr="000B51FA">
        <w:trPr>
          <w:trHeight w:val="616"/>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3A279B87" w14:textId="77777777" w:rsidR="004C6828" w:rsidRPr="000B51FA" w:rsidRDefault="004C6828" w:rsidP="004C6828">
            <w:pPr>
              <w:autoSpaceDE/>
              <w:autoSpaceDN/>
              <w:adjustRightInd/>
              <w:spacing w:after="0"/>
              <w:jc w:val="left"/>
              <w:rPr>
                <w:rFonts w:eastAsia="Times New Roman" w:cs="Arial"/>
                <w:sz w:val="16"/>
                <w:szCs w:val="16"/>
                <w:lang w:eastAsia="en-GB"/>
              </w:rPr>
            </w:pPr>
            <w:r w:rsidRPr="000B51FA">
              <w:rPr>
                <w:rFonts w:eastAsia="Times New Roman" w:cs="Arial"/>
                <w:sz w:val="16"/>
                <w:szCs w:val="16"/>
                <w:lang w:eastAsia="en-GB"/>
              </w:rPr>
              <w:t xml:space="preserve">Young Person's Travel </w:t>
            </w:r>
          </w:p>
        </w:tc>
        <w:tc>
          <w:tcPr>
            <w:tcW w:w="1630" w:type="dxa"/>
            <w:tcBorders>
              <w:top w:val="nil"/>
              <w:left w:val="nil"/>
              <w:bottom w:val="single" w:sz="4" w:space="0" w:color="auto"/>
              <w:right w:val="single" w:sz="4" w:space="0" w:color="auto"/>
            </w:tcBorders>
            <w:shd w:val="clear" w:color="auto" w:fill="auto"/>
            <w:noWrap/>
            <w:vAlign w:val="center"/>
            <w:hideMark/>
          </w:tcPr>
          <w:p w14:paraId="1C866515" w14:textId="79216FA6"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-0.194</w:t>
            </w:r>
          </w:p>
        </w:tc>
        <w:tc>
          <w:tcPr>
            <w:tcW w:w="1262" w:type="dxa"/>
            <w:tcBorders>
              <w:top w:val="nil"/>
              <w:left w:val="nil"/>
              <w:bottom w:val="single" w:sz="4" w:space="0" w:color="auto"/>
              <w:right w:val="single" w:sz="4" w:space="0" w:color="auto"/>
            </w:tcBorders>
            <w:shd w:val="clear" w:color="auto" w:fill="auto"/>
            <w:noWrap/>
            <w:vAlign w:val="center"/>
            <w:hideMark/>
          </w:tcPr>
          <w:p w14:paraId="6AE0A4B4" w14:textId="31D199EC"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88" w:type="dxa"/>
            <w:tcBorders>
              <w:top w:val="nil"/>
              <w:left w:val="nil"/>
              <w:bottom w:val="single" w:sz="4" w:space="0" w:color="auto"/>
              <w:right w:val="single" w:sz="4" w:space="0" w:color="auto"/>
            </w:tcBorders>
            <w:shd w:val="clear" w:color="auto" w:fill="auto"/>
            <w:noWrap/>
            <w:vAlign w:val="center"/>
            <w:hideMark/>
          </w:tcPr>
          <w:p w14:paraId="471B7192" w14:textId="26FACDB4"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0.194</w:t>
            </w:r>
          </w:p>
        </w:tc>
        <w:tc>
          <w:tcPr>
            <w:tcW w:w="1262" w:type="dxa"/>
            <w:tcBorders>
              <w:top w:val="nil"/>
              <w:left w:val="nil"/>
              <w:bottom w:val="single" w:sz="4" w:space="0" w:color="auto"/>
              <w:right w:val="single" w:sz="4" w:space="0" w:color="auto"/>
            </w:tcBorders>
            <w:shd w:val="clear" w:color="000000" w:fill="BFBFBF"/>
            <w:noWrap/>
            <w:vAlign w:val="center"/>
            <w:hideMark/>
          </w:tcPr>
          <w:p w14:paraId="02E0C256" w14:textId="185CEE08"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038C1DFC" w14:textId="504912A2"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3166FDA1" w14:textId="633E2348"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571CD2FC" w14:textId="61C34A75"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88" w:type="dxa"/>
            <w:tcBorders>
              <w:top w:val="nil"/>
              <w:left w:val="nil"/>
              <w:bottom w:val="single" w:sz="4" w:space="0" w:color="auto"/>
              <w:right w:val="single" w:sz="4" w:space="0" w:color="auto"/>
            </w:tcBorders>
            <w:shd w:val="clear" w:color="000000" w:fill="BFBFBF"/>
            <w:noWrap/>
            <w:vAlign w:val="center"/>
            <w:hideMark/>
          </w:tcPr>
          <w:p w14:paraId="07D6DF69" w14:textId="1F0B259B"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0.000</w:t>
            </w:r>
          </w:p>
        </w:tc>
      </w:tr>
      <w:tr w:rsidR="004C6828" w:rsidRPr="000B51FA" w14:paraId="2C8325E1" w14:textId="77777777" w:rsidTr="000B51FA">
        <w:trPr>
          <w:trHeight w:val="616"/>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57F7B32F" w14:textId="77777777" w:rsidR="004C6828" w:rsidRPr="000B51FA" w:rsidRDefault="004C6828" w:rsidP="004C6828">
            <w:pPr>
              <w:autoSpaceDE/>
              <w:autoSpaceDN/>
              <w:adjustRightInd/>
              <w:spacing w:after="0"/>
              <w:jc w:val="left"/>
              <w:rPr>
                <w:rFonts w:eastAsia="Times New Roman" w:cs="Arial"/>
                <w:sz w:val="16"/>
                <w:szCs w:val="16"/>
                <w:lang w:eastAsia="en-GB"/>
              </w:rPr>
            </w:pPr>
            <w:r w:rsidRPr="000B51FA">
              <w:rPr>
                <w:rFonts w:eastAsia="Times New Roman" w:cs="Arial"/>
                <w:sz w:val="16"/>
                <w:szCs w:val="16"/>
                <w:lang w:eastAsia="en-GB"/>
              </w:rPr>
              <w:t>Economic Development - GAMMA</w:t>
            </w:r>
          </w:p>
        </w:tc>
        <w:tc>
          <w:tcPr>
            <w:tcW w:w="1630" w:type="dxa"/>
            <w:tcBorders>
              <w:top w:val="nil"/>
              <w:left w:val="nil"/>
              <w:bottom w:val="single" w:sz="4" w:space="0" w:color="auto"/>
              <w:right w:val="single" w:sz="4" w:space="0" w:color="auto"/>
            </w:tcBorders>
            <w:shd w:val="clear" w:color="auto" w:fill="auto"/>
            <w:noWrap/>
            <w:vAlign w:val="center"/>
            <w:hideMark/>
          </w:tcPr>
          <w:p w14:paraId="54A1EFE2" w14:textId="054E2A77"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-0.017</w:t>
            </w:r>
          </w:p>
        </w:tc>
        <w:tc>
          <w:tcPr>
            <w:tcW w:w="1262" w:type="dxa"/>
            <w:tcBorders>
              <w:top w:val="nil"/>
              <w:left w:val="nil"/>
              <w:bottom w:val="single" w:sz="4" w:space="0" w:color="auto"/>
              <w:right w:val="single" w:sz="4" w:space="0" w:color="auto"/>
            </w:tcBorders>
            <w:shd w:val="clear" w:color="auto" w:fill="auto"/>
            <w:noWrap/>
            <w:vAlign w:val="center"/>
            <w:hideMark/>
          </w:tcPr>
          <w:p w14:paraId="637C9AD3" w14:textId="344042E0"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0.017</w:t>
            </w:r>
          </w:p>
        </w:tc>
        <w:tc>
          <w:tcPr>
            <w:tcW w:w="1288" w:type="dxa"/>
            <w:tcBorders>
              <w:top w:val="nil"/>
              <w:left w:val="nil"/>
              <w:bottom w:val="single" w:sz="4" w:space="0" w:color="auto"/>
              <w:right w:val="single" w:sz="4" w:space="0" w:color="auto"/>
            </w:tcBorders>
            <w:shd w:val="clear" w:color="auto" w:fill="auto"/>
            <w:noWrap/>
            <w:vAlign w:val="center"/>
            <w:hideMark/>
          </w:tcPr>
          <w:p w14:paraId="3E4C75CE" w14:textId="0FA0B318"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62" w:type="dxa"/>
            <w:tcBorders>
              <w:top w:val="nil"/>
              <w:left w:val="nil"/>
              <w:bottom w:val="single" w:sz="4" w:space="0" w:color="auto"/>
              <w:right w:val="single" w:sz="4" w:space="0" w:color="auto"/>
            </w:tcBorders>
            <w:shd w:val="clear" w:color="000000" w:fill="BFBFBF"/>
            <w:noWrap/>
            <w:vAlign w:val="center"/>
            <w:hideMark/>
          </w:tcPr>
          <w:p w14:paraId="165041EC" w14:textId="50EEFE98"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1FFDA54C" w14:textId="42901F69"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60BB0EAD" w14:textId="7E8D03E7"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032EFA4A" w14:textId="4335E732"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88" w:type="dxa"/>
            <w:tcBorders>
              <w:top w:val="nil"/>
              <w:left w:val="nil"/>
              <w:bottom w:val="single" w:sz="4" w:space="0" w:color="auto"/>
              <w:right w:val="single" w:sz="4" w:space="0" w:color="auto"/>
            </w:tcBorders>
            <w:shd w:val="clear" w:color="000000" w:fill="BFBFBF"/>
            <w:noWrap/>
            <w:vAlign w:val="center"/>
            <w:hideMark/>
          </w:tcPr>
          <w:p w14:paraId="3C448A87" w14:textId="618C3875"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0.000</w:t>
            </w:r>
          </w:p>
        </w:tc>
      </w:tr>
      <w:tr w:rsidR="004C6828" w:rsidRPr="000B51FA" w14:paraId="0DCB9D3E" w14:textId="77777777" w:rsidTr="000B51FA">
        <w:trPr>
          <w:trHeight w:val="616"/>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3E50E222" w14:textId="77777777" w:rsidR="004C6828" w:rsidRPr="000B51FA" w:rsidRDefault="004C6828" w:rsidP="004C6828">
            <w:pPr>
              <w:autoSpaceDE/>
              <w:autoSpaceDN/>
              <w:adjustRightInd/>
              <w:spacing w:after="0"/>
              <w:jc w:val="left"/>
              <w:rPr>
                <w:rFonts w:eastAsia="Times New Roman" w:cs="Arial"/>
                <w:sz w:val="16"/>
                <w:szCs w:val="16"/>
                <w:lang w:eastAsia="en-GB"/>
              </w:rPr>
            </w:pPr>
            <w:r w:rsidRPr="000B51FA">
              <w:rPr>
                <w:rFonts w:eastAsia="Times New Roman" w:cs="Arial"/>
                <w:sz w:val="16"/>
                <w:szCs w:val="16"/>
                <w:lang w:eastAsia="en-GB"/>
              </w:rPr>
              <w:t>Economic Enterprise Zone Strategic Development</w:t>
            </w:r>
          </w:p>
        </w:tc>
        <w:tc>
          <w:tcPr>
            <w:tcW w:w="1630" w:type="dxa"/>
            <w:tcBorders>
              <w:top w:val="nil"/>
              <w:left w:val="nil"/>
              <w:bottom w:val="single" w:sz="4" w:space="0" w:color="auto"/>
              <w:right w:val="single" w:sz="4" w:space="0" w:color="auto"/>
            </w:tcBorders>
            <w:shd w:val="clear" w:color="auto" w:fill="auto"/>
            <w:noWrap/>
            <w:vAlign w:val="center"/>
            <w:hideMark/>
          </w:tcPr>
          <w:p w14:paraId="40001170" w14:textId="5ED73458"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-0.500</w:t>
            </w:r>
          </w:p>
        </w:tc>
        <w:tc>
          <w:tcPr>
            <w:tcW w:w="1262" w:type="dxa"/>
            <w:tcBorders>
              <w:top w:val="nil"/>
              <w:left w:val="nil"/>
              <w:bottom w:val="single" w:sz="4" w:space="0" w:color="auto"/>
              <w:right w:val="single" w:sz="4" w:space="0" w:color="auto"/>
            </w:tcBorders>
            <w:shd w:val="clear" w:color="auto" w:fill="auto"/>
            <w:noWrap/>
            <w:vAlign w:val="center"/>
            <w:hideMark/>
          </w:tcPr>
          <w:p w14:paraId="5DA9BC6B" w14:textId="75477063"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0.500</w:t>
            </w:r>
          </w:p>
        </w:tc>
        <w:tc>
          <w:tcPr>
            <w:tcW w:w="1288" w:type="dxa"/>
            <w:tcBorders>
              <w:top w:val="nil"/>
              <w:left w:val="nil"/>
              <w:bottom w:val="single" w:sz="4" w:space="0" w:color="auto"/>
              <w:right w:val="single" w:sz="4" w:space="0" w:color="auto"/>
            </w:tcBorders>
            <w:shd w:val="clear" w:color="auto" w:fill="auto"/>
            <w:noWrap/>
            <w:vAlign w:val="center"/>
            <w:hideMark/>
          </w:tcPr>
          <w:p w14:paraId="53AE40B1" w14:textId="75626371"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62" w:type="dxa"/>
            <w:tcBorders>
              <w:top w:val="nil"/>
              <w:left w:val="nil"/>
              <w:bottom w:val="single" w:sz="4" w:space="0" w:color="auto"/>
              <w:right w:val="single" w:sz="4" w:space="0" w:color="auto"/>
            </w:tcBorders>
            <w:shd w:val="clear" w:color="000000" w:fill="BFBFBF"/>
            <w:noWrap/>
            <w:vAlign w:val="center"/>
            <w:hideMark/>
          </w:tcPr>
          <w:p w14:paraId="5EF4AEC0" w14:textId="11AA3339"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6BE0DD87" w14:textId="2B8216AC"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2C9F85D2" w14:textId="4DD02F87"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7EDD93D7" w14:textId="3B21FCF9"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88" w:type="dxa"/>
            <w:tcBorders>
              <w:top w:val="nil"/>
              <w:left w:val="nil"/>
              <w:bottom w:val="single" w:sz="4" w:space="0" w:color="auto"/>
              <w:right w:val="single" w:sz="4" w:space="0" w:color="auto"/>
            </w:tcBorders>
            <w:shd w:val="clear" w:color="000000" w:fill="BFBFBF"/>
            <w:noWrap/>
            <w:vAlign w:val="center"/>
            <w:hideMark/>
          </w:tcPr>
          <w:p w14:paraId="157D950C" w14:textId="76373F90"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0.000</w:t>
            </w:r>
          </w:p>
        </w:tc>
      </w:tr>
      <w:tr w:rsidR="004C6828" w:rsidRPr="000B51FA" w14:paraId="75C6CE55" w14:textId="77777777" w:rsidTr="000B51FA">
        <w:trPr>
          <w:trHeight w:val="616"/>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575C099F" w14:textId="77777777" w:rsidR="004C6828" w:rsidRPr="000B51FA" w:rsidRDefault="004C6828" w:rsidP="004C6828">
            <w:pPr>
              <w:autoSpaceDE/>
              <w:autoSpaceDN/>
              <w:adjustRightInd/>
              <w:spacing w:after="0"/>
              <w:jc w:val="left"/>
              <w:rPr>
                <w:rFonts w:eastAsia="Times New Roman" w:cs="Arial"/>
                <w:sz w:val="16"/>
                <w:szCs w:val="16"/>
                <w:lang w:eastAsia="en-GB"/>
              </w:rPr>
            </w:pPr>
            <w:r w:rsidRPr="000B51FA">
              <w:rPr>
                <w:rFonts w:eastAsia="Times New Roman" w:cs="Arial"/>
                <w:sz w:val="16"/>
                <w:szCs w:val="16"/>
                <w:lang w:eastAsia="en-GB"/>
              </w:rPr>
              <w:t xml:space="preserve">Economic Development - </w:t>
            </w:r>
            <w:proofErr w:type="spellStart"/>
            <w:r w:rsidRPr="000B51FA">
              <w:rPr>
                <w:rFonts w:eastAsia="Times New Roman" w:cs="Arial"/>
                <w:sz w:val="16"/>
                <w:szCs w:val="16"/>
                <w:lang w:eastAsia="en-GB"/>
              </w:rPr>
              <w:t>Exertis</w:t>
            </w:r>
            <w:proofErr w:type="spellEnd"/>
          </w:p>
        </w:tc>
        <w:tc>
          <w:tcPr>
            <w:tcW w:w="1630" w:type="dxa"/>
            <w:tcBorders>
              <w:top w:val="nil"/>
              <w:left w:val="nil"/>
              <w:bottom w:val="single" w:sz="4" w:space="0" w:color="auto"/>
              <w:right w:val="single" w:sz="4" w:space="0" w:color="auto"/>
            </w:tcBorders>
            <w:shd w:val="clear" w:color="auto" w:fill="auto"/>
            <w:noWrap/>
            <w:vAlign w:val="center"/>
            <w:hideMark/>
          </w:tcPr>
          <w:p w14:paraId="00E9F826" w14:textId="35A867F9"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-0.500</w:t>
            </w:r>
          </w:p>
        </w:tc>
        <w:tc>
          <w:tcPr>
            <w:tcW w:w="1262" w:type="dxa"/>
            <w:tcBorders>
              <w:top w:val="nil"/>
              <w:left w:val="nil"/>
              <w:bottom w:val="single" w:sz="4" w:space="0" w:color="auto"/>
              <w:right w:val="single" w:sz="4" w:space="0" w:color="auto"/>
            </w:tcBorders>
            <w:shd w:val="clear" w:color="auto" w:fill="auto"/>
            <w:noWrap/>
            <w:vAlign w:val="center"/>
            <w:hideMark/>
          </w:tcPr>
          <w:p w14:paraId="2AE1860C" w14:textId="3B308909"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0.500</w:t>
            </w:r>
          </w:p>
        </w:tc>
        <w:tc>
          <w:tcPr>
            <w:tcW w:w="1288" w:type="dxa"/>
            <w:tcBorders>
              <w:top w:val="nil"/>
              <w:left w:val="nil"/>
              <w:bottom w:val="single" w:sz="4" w:space="0" w:color="auto"/>
              <w:right w:val="single" w:sz="4" w:space="0" w:color="auto"/>
            </w:tcBorders>
            <w:shd w:val="clear" w:color="auto" w:fill="auto"/>
            <w:noWrap/>
            <w:vAlign w:val="center"/>
            <w:hideMark/>
          </w:tcPr>
          <w:p w14:paraId="28E055B3" w14:textId="0D8B18B0"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62" w:type="dxa"/>
            <w:tcBorders>
              <w:top w:val="nil"/>
              <w:left w:val="nil"/>
              <w:bottom w:val="single" w:sz="4" w:space="0" w:color="auto"/>
              <w:right w:val="single" w:sz="4" w:space="0" w:color="auto"/>
            </w:tcBorders>
            <w:shd w:val="clear" w:color="000000" w:fill="BFBFBF"/>
            <w:noWrap/>
            <w:vAlign w:val="center"/>
            <w:hideMark/>
          </w:tcPr>
          <w:p w14:paraId="4144831D" w14:textId="7FBB16ED"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7C66D1E0" w14:textId="030AEECB"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0F8E7AE9" w14:textId="695689DA"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680DEBEC" w14:textId="0D8874A2"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88" w:type="dxa"/>
            <w:tcBorders>
              <w:top w:val="nil"/>
              <w:left w:val="nil"/>
              <w:bottom w:val="single" w:sz="4" w:space="0" w:color="auto"/>
              <w:right w:val="single" w:sz="4" w:space="0" w:color="auto"/>
            </w:tcBorders>
            <w:shd w:val="clear" w:color="000000" w:fill="BFBFBF"/>
            <w:noWrap/>
            <w:vAlign w:val="center"/>
            <w:hideMark/>
          </w:tcPr>
          <w:p w14:paraId="7920AE2C" w14:textId="5D3A9BE5"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0.000</w:t>
            </w:r>
          </w:p>
        </w:tc>
      </w:tr>
      <w:tr w:rsidR="004C6828" w:rsidRPr="000B51FA" w14:paraId="2807B0AF" w14:textId="77777777" w:rsidTr="000B51FA">
        <w:trPr>
          <w:trHeight w:val="616"/>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66E698EC" w14:textId="77777777" w:rsidR="004C6828" w:rsidRPr="000B51FA" w:rsidRDefault="004C6828" w:rsidP="004C6828">
            <w:pPr>
              <w:autoSpaceDE/>
              <w:autoSpaceDN/>
              <w:adjustRightInd/>
              <w:spacing w:after="0"/>
              <w:jc w:val="left"/>
              <w:rPr>
                <w:rFonts w:eastAsia="Times New Roman" w:cs="Arial"/>
                <w:sz w:val="16"/>
                <w:szCs w:val="16"/>
                <w:lang w:eastAsia="en-GB"/>
              </w:rPr>
            </w:pPr>
            <w:r w:rsidRPr="000B51FA">
              <w:rPr>
                <w:rFonts w:eastAsia="Times New Roman" w:cs="Arial"/>
                <w:sz w:val="16"/>
                <w:szCs w:val="16"/>
                <w:lang w:eastAsia="en-GB"/>
              </w:rPr>
              <w:t>Economic Development - Boost Continuation</w:t>
            </w:r>
          </w:p>
        </w:tc>
        <w:tc>
          <w:tcPr>
            <w:tcW w:w="1630" w:type="dxa"/>
            <w:tcBorders>
              <w:top w:val="nil"/>
              <w:left w:val="nil"/>
              <w:bottom w:val="single" w:sz="4" w:space="0" w:color="auto"/>
              <w:right w:val="single" w:sz="4" w:space="0" w:color="auto"/>
            </w:tcBorders>
            <w:shd w:val="clear" w:color="auto" w:fill="auto"/>
            <w:noWrap/>
            <w:vAlign w:val="center"/>
            <w:hideMark/>
          </w:tcPr>
          <w:p w14:paraId="3785944A" w14:textId="1A2D3DC0"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-1.929</w:t>
            </w:r>
          </w:p>
        </w:tc>
        <w:tc>
          <w:tcPr>
            <w:tcW w:w="1262" w:type="dxa"/>
            <w:tcBorders>
              <w:top w:val="nil"/>
              <w:left w:val="nil"/>
              <w:bottom w:val="single" w:sz="4" w:space="0" w:color="auto"/>
              <w:right w:val="single" w:sz="4" w:space="0" w:color="auto"/>
            </w:tcBorders>
            <w:shd w:val="clear" w:color="auto" w:fill="auto"/>
            <w:noWrap/>
            <w:vAlign w:val="center"/>
            <w:hideMark/>
          </w:tcPr>
          <w:p w14:paraId="1A96ACB5" w14:textId="19C104B1"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0.643</w:t>
            </w:r>
          </w:p>
        </w:tc>
        <w:tc>
          <w:tcPr>
            <w:tcW w:w="1288" w:type="dxa"/>
            <w:tcBorders>
              <w:top w:val="nil"/>
              <w:left w:val="nil"/>
              <w:bottom w:val="single" w:sz="4" w:space="0" w:color="auto"/>
              <w:right w:val="single" w:sz="4" w:space="0" w:color="auto"/>
            </w:tcBorders>
            <w:shd w:val="clear" w:color="auto" w:fill="auto"/>
            <w:noWrap/>
            <w:vAlign w:val="center"/>
            <w:hideMark/>
          </w:tcPr>
          <w:p w14:paraId="216C5CB8" w14:textId="7F6BFC72"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62" w:type="dxa"/>
            <w:tcBorders>
              <w:top w:val="nil"/>
              <w:left w:val="nil"/>
              <w:bottom w:val="single" w:sz="4" w:space="0" w:color="auto"/>
              <w:right w:val="single" w:sz="4" w:space="0" w:color="auto"/>
            </w:tcBorders>
            <w:shd w:val="clear" w:color="000000" w:fill="BFBFBF"/>
            <w:noWrap/>
            <w:vAlign w:val="center"/>
            <w:hideMark/>
          </w:tcPr>
          <w:p w14:paraId="552DC4D3" w14:textId="327B5960"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-1.286</w:t>
            </w:r>
          </w:p>
        </w:tc>
        <w:tc>
          <w:tcPr>
            <w:tcW w:w="1236" w:type="dxa"/>
            <w:tcBorders>
              <w:top w:val="nil"/>
              <w:left w:val="nil"/>
              <w:bottom w:val="single" w:sz="4" w:space="0" w:color="auto"/>
              <w:right w:val="single" w:sz="4" w:space="0" w:color="auto"/>
            </w:tcBorders>
            <w:shd w:val="clear" w:color="auto" w:fill="auto"/>
            <w:noWrap/>
            <w:vAlign w:val="center"/>
            <w:hideMark/>
          </w:tcPr>
          <w:p w14:paraId="57E4C584" w14:textId="16584FA0"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0.643</w:t>
            </w:r>
          </w:p>
        </w:tc>
        <w:tc>
          <w:tcPr>
            <w:tcW w:w="1236" w:type="dxa"/>
            <w:tcBorders>
              <w:top w:val="nil"/>
              <w:left w:val="nil"/>
              <w:bottom w:val="single" w:sz="4" w:space="0" w:color="auto"/>
              <w:right w:val="single" w:sz="4" w:space="0" w:color="auto"/>
            </w:tcBorders>
            <w:shd w:val="clear" w:color="auto" w:fill="auto"/>
            <w:noWrap/>
            <w:vAlign w:val="center"/>
            <w:hideMark/>
          </w:tcPr>
          <w:p w14:paraId="7E7A443F" w14:textId="196BB2FF"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0.643</w:t>
            </w:r>
          </w:p>
        </w:tc>
        <w:tc>
          <w:tcPr>
            <w:tcW w:w="1236" w:type="dxa"/>
            <w:tcBorders>
              <w:top w:val="nil"/>
              <w:left w:val="nil"/>
              <w:bottom w:val="single" w:sz="4" w:space="0" w:color="auto"/>
              <w:right w:val="single" w:sz="4" w:space="0" w:color="auto"/>
            </w:tcBorders>
            <w:shd w:val="clear" w:color="auto" w:fill="auto"/>
            <w:noWrap/>
            <w:vAlign w:val="center"/>
            <w:hideMark/>
          </w:tcPr>
          <w:p w14:paraId="33992949" w14:textId="54418BCE"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88" w:type="dxa"/>
            <w:tcBorders>
              <w:top w:val="nil"/>
              <w:left w:val="nil"/>
              <w:bottom w:val="single" w:sz="4" w:space="0" w:color="auto"/>
              <w:right w:val="single" w:sz="4" w:space="0" w:color="auto"/>
            </w:tcBorders>
            <w:shd w:val="clear" w:color="000000" w:fill="BFBFBF"/>
            <w:noWrap/>
            <w:vAlign w:val="center"/>
            <w:hideMark/>
          </w:tcPr>
          <w:p w14:paraId="15D1ADDD" w14:textId="39CF1E1A"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0.000</w:t>
            </w:r>
          </w:p>
        </w:tc>
      </w:tr>
      <w:tr w:rsidR="004C6828" w:rsidRPr="000B51FA" w14:paraId="66AE7BC9" w14:textId="77777777" w:rsidTr="000B51FA">
        <w:trPr>
          <w:trHeight w:val="616"/>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4A11E24B" w14:textId="77777777" w:rsidR="004C6828" w:rsidRPr="000B51FA" w:rsidRDefault="004C6828" w:rsidP="004C6828">
            <w:pPr>
              <w:autoSpaceDE/>
              <w:autoSpaceDN/>
              <w:adjustRightInd/>
              <w:spacing w:after="0"/>
              <w:jc w:val="left"/>
              <w:rPr>
                <w:rFonts w:eastAsia="Times New Roman" w:cs="Arial"/>
                <w:sz w:val="16"/>
                <w:szCs w:val="16"/>
                <w:lang w:eastAsia="en-GB"/>
              </w:rPr>
            </w:pPr>
            <w:r w:rsidRPr="000B51FA">
              <w:rPr>
                <w:rFonts w:eastAsia="Times New Roman" w:cs="Arial"/>
                <w:sz w:val="16"/>
                <w:szCs w:val="16"/>
                <w:lang w:eastAsia="en-GB"/>
              </w:rPr>
              <w:t>Armed Forces Apprentice Costs</w:t>
            </w:r>
          </w:p>
        </w:tc>
        <w:tc>
          <w:tcPr>
            <w:tcW w:w="1630" w:type="dxa"/>
            <w:tcBorders>
              <w:top w:val="nil"/>
              <w:left w:val="nil"/>
              <w:bottom w:val="single" w:sz="4" w:space="0" w:color="auto"/>
              <w:right w:val="single" w:sz="4" w:space="0" w:color="auto"/>
            </w:tcBorders>
            <w:shd w:val="clear" w:color="auto" w:fill="auto"/>
            <w:noWrap/>
            <w:vAlign w:val="center"/>
            <w:hideMark/>
          </w:tcPr>
          <w:p w14:paraId="2B234458" w14:textId="1C8DA4B6"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-1.770</w:t>
            </w:r>
          </w:p>
        </w:tc>
        <w:tc>
          <w:tcPr>
            <w:tcW w:w="1262" w:type="dxa"/>
            <w:tcBorders>
              <w:top w:val="nil"/>
              <w:left w:val="nil"/>
              <w:bottom w:val="single" w:sz="4" w:space="0" w:color="auto"/>
              <w:right w:val="single" w:sz="4" w:space="0" w:color="auto"/>
            </w:tcBorders>
            <w:shd w:val="clear" w:color="auto" w:fill="auto"/>
            <w:noWrap/>
            <w:vAlign w:val="center"/>
            <w:hideMark/>
          </w:tcPr>
          <w:p w14:paraId="0301A96E" w14:textId="40A994BC"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0.287</w:t>
            </w:r>
          </w:p>
        </w:tc>
        <w:tc>
          <w:tcPr>
            <w:tcW w:w="1288" w:type="dxa"/>
            <w:tcBorders>
              <w:top w:val="nil"/>
              <w:left w:val="nil"/>
              <w:bottom w:val="single" w:sz="4" w:space="0" w:color="auto"/>
              <w:right w:val="single" w:sz="4" w:space="0" w:color="auto"/>
            </w:tcBorders>
            <w:shd w:val="clear" w:color="auto" w:fill="auto"/>
            <w:noWrap/>
            <w:vAlign w:val="center"/>
            <w:hideMark/>
          </w:tcPr>
          <w:p w14:paraId="71CDA30C" w14:textId="754BE692"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62" w:type="dxa"/>
            <w:tcBorders>
              <w:top w:val="nil"/>
              <w:left w:val="nil"/>
              <w:bottom w:val="single" w:sz="4" w:space="0" w:color="auto"/>
              <w:right w:val="single" w:sz="4" w:space="0" w:color="auto"/>
            </w:tcBorders>
            <w:shd w:val="clear" w:color="000000" w:fill="BFBFBF"/>
            <w:noWrap/>
            <w:vAlign w:val="center"/>
            <w:hideMark/>
          </w:tcPr>
          <w:p w14:paraId="78F4E524" w14:textId="5C5A3434"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-1.483</w:t>
            </w:r>
          </w:p>
        </w:tc>
        <w:tc>
          <w:tcPr>
            <w:tcW w:w="1236" w:type="dxa"/>
            <w:tcBorders>
              <w:top w:val="nil"/>
              <w:left w:val="nil"/>
              <w:bottom w:val="single" w:sz="4" w:space="0" w:color="auto"/>
              <w:right w:val="single" w:sz="4" w:space="0" w:color="auto"/>
            </w:tcBorders>
            <w:shd w:val="clear" w:color="auto" w:fill="auto"/>
            <w:noWrap/>
            <w:vAlign w:val="center"/>
            <w:hideMark/>
          </w:tcPr>
          <w:p w14:paraId="6607887E" w14:textId="690941AC"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0.243</w:t>
            </w:r>
          </w:p>
        </w:tc>
        <w:tc>
          <w:tcPr>
            <w:tcW w:w="1236" w:type="dxa"/>
            <w:tcBorders>
              <w:top w:val="nil"/>
              <w:left w:val="nil"/>
              <w:bottom w:val="single" w:sz="4" w:space="0" w:color="auto"/>
              <w:right w:val="single" w:sz="4" w:space="0" w:color="auto"/>
            </w:tcBorders>
            <w:shd w:val="clear" w:color="auto" w:fill="auto"/>
            <w:noWrap/>
            <w:vAlign w:val="center"/>
            <w:hideMark/>
          </w:tcPr>
          <w:p w14:paraId="4A0C31B3" w14:textId="0432FC03"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0.240</w:t>
            </w:r>
          </w:p>
        </w:tc>
        <w:tc>
          <w:tcPr>
            <w:tcW w:w="1236" w:type="dxa"/>
            <w:tcBorders>
              <w:top w:val="nil"/>
              <w:left w:val="nil"/>
              <w:bottom w:val="single" w:sz="4" w:space="0" w:color="auto"/>
              <w:right w:val="single" w:sz="4" w:space="0" w:color="auto"/>
            </w:tcBorders>
            <w:shd w:val="clear" w:color="auto" w:fill="auto"/>
            <w:noWrap/>
            <w:vAlign w:val="center"/>
            <w:hideMark/>
          </w:tcPr>
          <w:p w14:paraId="50DB7765" w14:textId="5736AF9F"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0.060</w:t>
            </w:r>
          </w:p>
        </w:tc>
        <w:tc>
          <w:tcPr>
            <w:tcW w:w="1288" w:type="dxa"/>
            <w:tcBorders>
              <w:top w:val="nil"/>
              <w:left w:val="nil"/>
              <w:bottom w:val="single" w:sz="4" w:space="0" w:color="auto"/>
              <w:right w:val="single" w:sz="4" w:space="0" w:color="auto"/>
            </w:tcBorders>
            <w:shd w:val="clear" w:color="000000" w:fill="BFBFBF"/>
            <w:noWrap/>
            <w:vAlign w:val="center"/>
            <w:hideMark/>
          </w:tcPr>
          <w:p w14:paraId="0E802F97" w14:textId="55974AFA"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-0.940</w:t>
            </w:r>
          </w:p>
        </w:tc>
      </w:tr>
      <w:tr w:rsidR="004C6828" w:rsidRPr="000B51FA" w14:paraId="717B4660" w14:textId="77777777" w:rsidTr="000B51FA">
        <w:trPr>
          <w:trHeight w:val="616"/>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4ECFB63F" w14:textId="77777777" w:rsidR="004C6828" w:rsidRPr="000B51FA" w:rsidRDefault="004C6828" w:rsidP="004C6828">
            <w:pPr>
              <w:autoSpaceDE/>
              <w:autoSpaceDN/>
              <w:adjustRightInd/>
              <w:spacing w:after="0"/>
              <w:jc w:val="left"/>
              <w:rPr>
                <w:rFonts w:eastAsia="Times New Roman" w:cs="Arial"/>
                <w:sz w:val="16"/>
                <w:szCs w:val="16"/>
                <w:lang w:eastAsia="en-GB"/>
              </w:rPr>
            </w:pPr>
            <w:r w:rsidRPr="000B51FA">
              <w:rPr>
                <w:rFonts w:eastAsia="Times New Roman" w:cs="Arial"/>
                <w:sz w:val="16"/>
                <w:szCs w:val="16"/>
                <w:lang w:eastAsia="en-GB"/>
              </w:rPr>
              <w:t>Early Action /Early Response</w:t>
            </w:r>
          </w:p>
        </w:tc>
        <w:tc>
          <w:tcPr>
            <w:tcW w:w="1630" w:type="dxa"/>
            <w:tcBorders>
              <w:top w:val="nil"/>
              <w:left w:val="nil"/>
              <w:bottom w:val="single" w:sz="4" w:space="0" w:color="auto"/>
              <w:right w:val="single" w:sz="4" w:space="0" w:color="auto"/>
            </w:tcBorders>
            <w:shd w:val="clear" w:color="auto" w:fill="auto"/>
            <w:noWrap/>
            <w:vAlign w:val="center"/>
            <w:hideMark/>
          </w:tcPr>
          <w:p w14:paraId="118F5BC4" w14:textId="0EE95862"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-0.100</w:t>
            </w:r>
          </w:p>
        </w:tc>
        <w:tc>
          <w:tcPr>
            <w:tcW w:w="1262" w:type="dxa"/>
            <w:tcBorders>
              <w:top w:val="nil"/>
              <w:left w:val="nil"/>
              <w:bottom w:val="single" w:sz="4" w:space="0" w:color="auto"/>
              <w:right w:val="single" w:sz="4" w:space="0" w:color="auto"/>
            </w:tcBorders>
            <w:shd w:val="clear" w:color="auto" w:fill="auto"/>
            <w:noWrap/>
            <w:vAlign w:val="center"/>
            <w:hideMark/>
          </w:tcPr>
          <w:p w14:paraId="43C02F9E" w14:textId="264AB24E"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0.100</w:t>
            </w:r>
          </w:p>
        </w:tc>
        <w:tc>
          <w:tcPr>
            <w:tcW w:w="1288" w:type="dxa"/>
            <w:tcBorders>
              <w:top w:val="nil"/>
              <w:left w:val="nil"/>
              <w:bottom w:val="single" w:sz="4" w:space="0" w:color="auto"/>
              <w:right w:val="single" w:sz="4" w:space="0" w:color="auto"/>
            </w:tcBorders>
            <w:shd w:val="clear" w:color="auto" w:fill="auto"/>
            <w:noWrap/>
            <w:vAlign w:val="center"/>
            <w:hideMark/>
          </w:tcPr>
          <w:p w14:paraId="3EEF89D4" w14:textId="172E2633"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62" w:type="dxa"/>
            <w:tcBorders>
              <w:top w:val="nil"/>
              <w:left w:val="nil"/>
              <w:bottom w:val="single" w:sz="4" w:space="0" w:color="auto"/>
              <w:right w:val="single" w:sz="4" w:space="0" w:color="auto"/>
            </w:tcBorders>
            <w:shd w:val="clear" w:color="000000" w:fill="BFBFBF"/>
            <w:noWrap/>
            <w:vAlign w:val="center"/>
            <w:hideMark/>
          </w:tcPr>
          <w:p w14:paraId="06876428" w14:textId="19A1D9CF"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131A19B7" w14:textId="7D10E6F6"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6B594A62" w14:textId="2A8501C0"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5B8787B0" w14:textId="7929A87B"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88" w:type="dxa"/>
            <w:tcBorders>
              <w:top w:val="nil"/>
              <w:left w:val="nil"/>
              <w:bottom w:val="single" w:sz="4" w:space="0" w:color="auto"/>
              <w:right w:val="single" w:sz="4" w:space="0" w:color="auto"/>
            </w:tcBorders>
            <w:shd w:val="clear" w:color="000000" w:fill="BFBFBF"/>
            <w:noWrap/>
            <w:vAlign w:val="center"/>
            <w:hideMark/>
          </w:tcPr>
          <w:p w14:paraId="796D4EF7" w14:textId="5C2902EF"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0.000</w:t>
            </w:r>
          </w:p>
        </w:tc>
      </w:tr>
      <w:tr w:rsidR="004C6828" w:rsidRPr="000B51FA" w14:paraId="263BCB03" w14:textId="77777777" w:rsidTr="000B51FA">
        <w:trPr>
          <w:trHeight w:val="616"/>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2147B967" w14:textId="77777777" w:rsidR="004C6828" w:rsidRPr="000B51FA" w:rsidRDefault="004C6828" w:rsidP="004C6828">
            <w:pPr>
              <w:autoSpaceDE/>
              <w:autoSpaceDN/>
              <w:adjustRightInd/>
              <w:spacing w:after="0"/>
              <w:jc w:val="left"/>
              <w:rPr>
                <w:rFonts w:eastAsia="Times New Roman" w:cs="Arial"/>
                <w:sz w:val="16"/>
                <w:szCs w:val="16"/>
                <w:lang w:eastAsia="en-GB"/>
              </w:rPr>
            </w:pPr>
            <w:r w:rsidRPr="000B51FA">
              <w:rPr>
                <w:rFonts w:eastAsia="Times New Roman" w:cs="Arial"/>
                <w:sz w:val="16"/>
                <w:szCs w:val="16"/>
                <w:lang w:eastAsia="en-GB"/>
              </w:rPr>
              <w:t>Green Energy Fund</w:t>
            </w:r>
          </w:p>
        </w:tc>
        <w:tc>
          <w:tcPr>
            <w:tcW w:w="1630" w:type="dxa"/>
            <w:tcBorders>
              <w:top w:val="nil"/>
              <w:left w:val="nil"/>
              <w:bottom w:val="single" w:sz="4" w:space="0" w:color="auto"/>
              <w:right w:val="single" w:sz="4" w:space="0" w:color="auto"/>
            </w:tcBorders>
            <w:shd w:val="clear" w:color="auto" w:fill="auto"/>
            <w:noWrap/>
            <w:vAlign w:val="center"/>
            <w:hideMark/>
          </w:tcPr>
          <w:p w14:paraId="57A066E1" w14:textId="59C49100"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-5.000</w:t>
            </w:r>
          </w:p>
        </w:tc>
        <w:tc>
          <w:tcPr>
            <w:tcW w:w="1262" w:type="dxa"/>
            <w:tcBorders>
              <w:top w:val="nil"/>
              <w:left w:val="nil"/>
              <w:bottom w:val="single" w:sz="4" w:space="0" w:color="auto"/>
              <w:right w:val="single" w:sz="4" w:space="0" w:color="auto"/>
            </w:tcBorders>
            <w:shd w:val="clear" w:color="auto" w:fill="auto"/>
            <w:noWrap/>
            <w:vAlign w:val="center"/>
            <w:hideMark/>
          </w:tcPr>
          <w:p w14:paraId="3F97A400" w14:textId="22E07BB7"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88" w:type="dxa"/>
            <w:tcBorders>
              <w:top w:val="nil"/>
              <w:left w:val="nil"/>
              <w:bottom w:val="single" w:sz="4" w:space="0" w:color="auto"/>
              <w:right w:val="single" w:sz="4" w:space="0" w:color="auto"/>
            </w:tcBorders>
            <w:shd w:val="clear" w:color="auto" w:fill="auto"/>
            <w:noWrap/>
            <w:vAlign w:val="center"/>
            <w:hideMark/>
          </w:tcPr>
          <w:p w14:paraId="377B5ACF" w14:textId="5353D1CC"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5.000</w:t>
            </w:r>
          </w:p>
        </w:tc>
        <w:tc>
          <w:tcPr>
            <w:tcW w:w="1262" w:type="dxa"/>
            <w:tcBorders>
              <w:top w:val="nil"/>
              <w:left w:val="nil"/>
              <w:bottom w:val="single" w:sz="4" w:space="0" w:color="auto"/>
              <w:right w:val="single" w:sz="4" w:space="0" w:color="auto"/>
            </w:tcBorders>
            <w:shd w:val="clear" w:color="000000" w:fill="BFBFBF"/>
            <w:noWrap/>
            <w:vAlign w:val="center"/>
            <w:hideMark/>
          </w:tcPr>
          <w:p w14:paraId="125783A1" w14:textId="2D0E64BF"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42617574" w14:textId="3BF82A5B"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2FE3C54C" w14:textId="05CC26D3"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5014CC80" w14:textId="2DB80346"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88" w:type="dxa"/>
            <w:tcBorders>
              <w:top w:val="nil"/>
              <w:left w:val="nil"/>
              <w:bottom w:val="single" w:sz="4" w:space="0" w:color="auto"/>
              <w:right w:val="single" w:sz="4" w:space="0" w:color="auto"/>
            </w:tcBorders>
            <w:shd w:val="clear" w:color="000000" w:fill="BFBFBF"/>
            <w:noWrap/>
            <w:vAlign w:val="center"/>
            <w:hideMark/>
          </w:tcPr>
          <w:p w14:paraId="48F626D0" w14:textId="644194DA"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0.000</w:t>
            </w:r>
          </w:p>
        </w:tc>
      </w:tr>
      <w:tr w:rsidR="004C6828" w:rsidRPr="000B51FA" w14:paraId="1CEF174E" w14:textId="77777777" w:rsidTr="000B51FA">
        <w:trPr>
          <w:trHeight w:val="616"/>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5EE7F693" w14:textId="77777777" w:rsidR="004C6828" w:rsidRPr="000B51FA" w:rsidRDefault="004C6828" w:rsidP="004C6828">
            <w:pPr>
              <w:autoSpaceDE/>
              <w:autoSpaceDN/>
              <w:adjustRightInd/>
              <w:spacing w:after="0"/>
              <w:jc w:val="left"/>
              <w:rPr>
                <w:rFonts w:eastAsia="Times New Roman" w:cs="Arial"/>
                <w:sz w:val="16"/>
                <w:szCs w:val="16"/>
                <w:lang w:eastAsia="en-GB"/>
              </w:rPr>
            </w:pPr>
            <w:r w:rsidRPr="000B51FA">
              <w:rPr>
                <w:rFonts w:eastAsia="Times New Roman" w:cs="Arial"/>
                <w:sz w:val="16"/>
                <w:szCs w:val="16"/>
                <w:lang w:eastAsia="en-GB"/>
              </w:rPr>
              <w:t xml:space="preserve">Core Systems Transformation </w:t>
            </w:r>
          </w:p>
        </w:tc>
        <w:tc>
          <w:tcPr>
            <w:tcW w:w="1630" w:type="dxa"/>
            <w:tcBorders>
              <w:top w:val="nil"/>
              <w:left w:val="nil"/>
              <w:bottom w:val="single" w:sz="4" w:space="0" w:color="auto"/>
              <w:right w:val="single" w:sz="4" w:space="0" w:color="auto"/>
            </w:tcBorders>
            <w:shd w:val="clear" w:color="auto" w:fill="auto"/>
            <w:noWrap/>
            <w:vAlign w:val="center"/>
            <w:hideMark/>
          </w:tcPr>
          <w:p w14:paraId="03EB3FFF" w14:textId="4C24B846"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-0.657</w:t>
            </w:r>
          </w:p>
        </w:tc>
        <w:tc>
          <w:tcPr>
            <w:tcW w:w="1262" w:type="dxa"/>
            <w:tcBorders>
              <w:top w:val="nil"/>
              <w:left w:val="nil"/>
              <w:bottom w:val="single" w:sz="4" w:space="0" w:color="auto"/>
              <w:right w:val="single" w:sz="4" w:space="0" w:color="auto"/>
            </w:tcBorders>
            <w:shd w:val="clear" w:color="auto" w:fill="auto"/>
            <w:noWrap/>
            <w:vAlign w:val="center"/>
            <w:hideMark/>
          </w:tcPr>
          <w:p w14:paraId="7302BDE6" w14:textId="180E05E3"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88" w:type="dxa"/>
            <w:tcBorders>
              <w:top w:val="nil"/>
              <w:left w:val="nil"/>
              <w:bottom w:val="single" w:sz="4" w:space="0" w:color="auto"/>
              <w:right w:val="single" w:sz="4" w:space="0" w:color="auto"/>
            </w:tcBorders>
            <w:shd w:val="clear" w:color="auto" w:fill="auto"/>
            <w:noWrap/>
            <w:vAlign w:val="center"/>
            <w:hideMark/>
          </w:tcPr>
          <w:p w14:paraId="4B3C1D76" w14:textId="61120237"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62" w:type="dxa"/>
            <w:tcBorders>
              <w:top w:val="nil"/>
              <w:left w:val="nil"/>
              <w:bottom w:val="single" w:sz="4" w:space="0" w:color="auto"/>
              <w:right w:val="single" w:sz="4" w:space="0" w:color="auto"/>
            </w:tcBorders>
            <w:shd w:val="clear" w:color="000000" w:fill="BFBFBF"/>
            <w:noWrap/>
            <w:vAlign w:val="center"/>
            <w:hideMark/>
          </w:tcPr>
          <w:p w14:paraId="5C4309EA" w14:textId="148F6EF2"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-0.657</w:t>
            </w:r>
          </w:p>
        </w:tc>
        <w:tc>
          <w:tcPr>
            <w:tcW w:w="1236" w:type="dxa"/>
            <w:tcBorders>
              <w:top w:val="nil"/>
              <w:left w:val="nil"/>
              <w:bottom w:val="single" w:sz="4" w:space="0" w:color="auto"/>
              <w:right w:val="single" w:sz="4" w:space="0" w:color="auto"/>
            </w:tcBorders>
            <w:shd w:val="clear" w:color="auto" w:fill="auto"/>
            <w:noWrap/>
            <w:vAlign w:val="center"/>
            <w:hideMark/>
          </w:tcPr>
          <w:p w14:paraId="12E02BE1" w14:textId="5D45D146"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0.657</w:t>
            </w:r>
          </w:p>
        </w:tc>
        <w:tc>
          <w:tcPr>
            <w:tcW w:w="1236" w:type="dxa"/>
            <w:tcBorders>
              <w:top w:val="nil"/>
              <w:left w:val="nil"/>
              <w:bottom w:val="single" w:sz="4" w:space="0" w:color="auto"/>
              <w:right w:val="single" w:sz="4" w:space="0" w:color="auto"/>
            </w:tcBorders>
            <w:shd w:val="clear" w:color="auto" w:fill="auto"/>
            <w:noWrap/>
            <w:vAlign w:val="center"/>
            <w:hideMark/>
          </w:tcPr>
          <w:p w14:paraId="3D00105C" w14:textId="1F43A09F"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4680670C" w14:textId="3DD412DE" w:rsidR="004C6828" w:rsidRPr="000B51FA" w:rsidRDefault="004C6828" w:rsidP="004C6828">
            <w:pPr>
              <w:autoSpaceDE/>
              <w:autoSpaceDN/>
              <w:adjustRightInd/>
              <w:spacing w:after="0"/>
              <w:jc w:val="center"/>
              <w:rPr>
                <w:rFonts w:eastAsia="Times New Roman" w:cs="Arial"/>
                <w:sz w:val="16"/>
                <w:szCs w:val="16"/>
                <w:lang w:eastAsia="en-GB"/>
              </w:rPr>
            </w:pPr>
            <w:r>
              <w:rPr>
                <w:rFonts w:cs="Arial"/>
                <w:sz w:val="16"/>
                <w:szCs w:val="16"/>
              </w:rPr>
              <w:t>0.000</w:t>
            </w:r>
          </w:p>
        </w:tc>
        <w:tc>
          <w:tcPr>
            <w:tcW w:w="1288" w:type="dxa"/>
            <w:tcBorders>
              <w:top w:val="nil"/>
              <w:left w:val="nil"/>
              <w:bottom w:val="single" w:sz="4" w:space="0" w:color="auto"/>
              <w:right w:val="single" w:sz="4" w:space="0" w:color="auto"/>
            </w:tcBorders>
            <w:shd w:val="clear" w:color="000000" w:fill="BFBFBF"/>
            <w:noWrap/>
            <w:vAlign w:val="center"/>
            <w:hideMark/>
          </w:tcPr>
          <w:p w14:paraId="46FE1817" w14:textId="5A9A0927"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0.000</w:t>
            </w:r>
          </w:p>
        </w:tc>
      </w:tr>
      <w:tr w:rsidR="004C6828" w:rsidRPr="000B51FA" w14:paraId="5E91E210" w14:textId="77777777" w:rsidTr="000B51FA">
        <w:trPr>
          <w:trHeight w:val="616"/>
        </w:trPr>
        <w:tc>
          <w:tcPr>
            <w:tcW w:w="3603" w:type="dxa"/>
            <w:tcBorders>
              <w:top w:val="nil"/>
              <w:left w:val="single" w:sz="4" w:space="0" w:color="auto"/>
              <w:bottom w:val="single" w:sz="4" w:space="0" w:color="auto"/>
              <w:right w:val="single" w:sz="4" w:space="0" w:color="auto"/>
            </w:tcBorders>
            <w:shd w:val="clear" w:color="000000" w:fill="BFBFBF"/>
            <w:vAlign w:val="center"/>
            <w:hideMark/>
          </w:tcPr>
          <w:p w14:paraId="1B5DC2DC" w14:textId="77777777" w:rsidR="004C6828" w:rsidRPr="000B51FA" w:rsidRDefault="004C6828" w:rsidP="004C6828">
            <w:pPr>
              <w:autoSpaceDE/>
              <w:autoSpaceDN/>
              <w:adjustRightInd/>
              <w:spacing w:after="0"/>
              <w:jc w:val="left"/>
              <w:rPr>
                <w:rFonts w:eastAsia="Times New Roman" w:cs="Arial"/>
                <w:b/>
                <w:bCs/>
                <w:sz w:val="16"/>
                <w:szCs w:val="16"/>
                <w:lang w:eastAsia="en-GB"/>
              </w:rPr>
            </w:pPr>
            <w:r w:rsidRPr="000B51FA">
              <w:rPr>
                <w:rFonts w:eastAsia="Times New Roman" w:cs="Arial"/>
                <w:b/>
                <w:bCs/>
                <w:sz w:val="16"/>
                <w:szCs w:val="16"/>
                <w:lang w:eastAsia="en-GB"/>
              </w:rPr>
              <w:t>Total on Strategic Investment Reserve</w:t>
            </w:r>
          </w:p>
        </w:tc>
        <w:tc>
          <w:tcPr>
            <w:tcW w:w="1630" w:type="dxa"/>
            <w:tcBorders>
              <w:top w:val="nil"/>
              <w:left w:val="nil"/>
              <w:bottom w:val="single" w:sz="4" w:space="0" w:color="auto"/>
              <w:right w:val="single" w:sz="4" w:space="0" w:color="auto"/>
            </w:tcBorders>
            <w:shd w:val="clear" w:color="000000" w:fill="BFBFBF"/>
            <w:noWrap/>
            <w:vAlign w:val="center"/>
            <w:hideMark/>
          </w:tcPr>
          <w:p w14:paraId="77093C3F" w14:textId="4CC817A5"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-10.971</w:t>
            </w:r>
          </w:p>
        </w:tc>
        <w:tc>
          <w:tcPr>
            <w:tcW w:w="1262" w:type="dxa"/>
            <w:tcBorders>
              <w:top w:val="nil"/>
              <w:left w:val="nil"/>
              <w:bottom w:val="single" w:sz="4" w:space="0" w:color="auto"/>
              <w:right w:val="single" w:sz="4" w:space="0" w:color="auto"/>
            </w:tcBorders>
            <w:shd w:val="clear" w:color="000000" w:fill="BFBFBF"/>
            <w:noWrap/>
            <w:vAlign w:val="center"/>
            <w:hideMark/>
          </w:tcPr>
          <w:p w14:paraId="38594448" w14:textId="36706390"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2.351</w:t>
            </w:r>
          </w:p>
        </w:tc>
        <w:tc>
          <w:tcPr>
            <w:tcW w:w="1288" w:type="dxa"/>
            <w:tcBorders>
              <w:top w:val="nil"/>
              <w:left w:val="nil"/>
              <w:bottom w:val="single" w:sz="4" w:space="0" w:color="auto"/>
              <w:right w:val="single" w:sz="4" w:space="0" w:color="auto"/>
            </w:tcBorders>
            <w:shd w:val="clear" w:color="000000" w:fill="BFBFBF"/>
            <w:noWrap/>
            <w:vAlign w:val="center"/>
            <w:hideMark/>
          </w:tcPr>
          <w:p w14:paraId="539D60B0" w14:textId="255D5070"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5.194</w:t>
            </w:r>
          </w:p>
        </w:tc>
        <w:tc>
          <w:tcPr>
            <w:tcW w:w="1262" w:type="dxa"/>
            <w:tcBorders>
              <w:top w:val="nil"/>
              <w:left w:val="nil"/>
              <w:bottom w:val="single" w:sz="4" w:space="0" w:color="auto"/>
              <w:right w:val="single" w:sz="4" w:space="0" w:color="auto"/>
            </w:tcBorders>
            <w:shd w:val="clear" w:color="000000" w:fill="BFBFBF"/>
            <w:noWrap/>
            <w:vAlign w:val="center"/>
            <w:hideMark/>
          </w:tcPr>
          <w:p w14:paraId="5793144E" w14:textId="44DA5B80"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-3.426</w:t>
            </w:r>
          </w:p>
        </w:tc>
        <w:tc>
          <w:tcPr>
            <w:tcW w:w="1236" w:type="dxa"/>
            <w:tcBorders>
              <w:top w:val="nil"/>
              <w:left w:val="nil"/>
              <w:bottom w:val="single" w:sz="4" w:space="0" w:color="auto"/>
              <w:right w:val="single" w:sz="4" w:space="0" w:color="auto"/>
            </w:tcBorders>
            <w:shd w:val="clear" w:color="000000" w:fill="BFBFBF"/>
            <w:noWrap/>
            <w:vAlign w:val="center"/>
            <w:hideMark/>
          </w:tcPr>
          <w:p w14:paraId="407EE268" w14:textId="605698BC"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1.543</w:t>
            </w:r>
          </w:p>
        </w:tc>
        <w:tc>
          <w:tcPr>
            <w:tcW w:w="1236" w:type="dxa"/>
            <w:tcBorders>
              <w:top w:val="nil"/>
              <w:left w:val="nil"/>
              <w:bottom w:val="single" w:sz="4" w:space="0" w:color="auto"/>
              <w:right w:val="single" w:sz="4" w:space="0" w:color="auto"/>
            </w:tcBorders>
            <w:shd w:val="clear" w:color="000000" w:fill="BFBFBF"/>
            <w:noWrap/>
            <w:vAlign w:val="center"/>
            <w:hideMark/>
          </w:tcPr>
          <w:p w14:paraId="5EC0831A" w14:textId="0A3DB473"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0.883</w:t>
            </w:r>
          </w:p>
        </w:tc>
        <w:tc>
          <w:tcPr>
            <w:tcW w:w="1236" w:type="dxa"/>
            <w:tcBorders>
              <w:top w:val="nil"/>
              <w:left w:val="nil"/>
              <w:bottom w:val="single" w:sz="4" w:space="0" w:color="auto"/>
              <w:right w:val="single" w:sz="4" w:space="0" w:color="auto"/>
            </w:tcBorders>
            <w:shd w:val="clear" w:color="000000" w:fill="BFBFBF"/>
            <w:noWrap/>
            <w:vAlign w:val="center"/>
            <w:hideMark/>
          </w:tcPr>
          <w:p w14:paraId="1A7255B0" w14:textId="4CF45D32"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0.060</w:t>
            </w:r>
          </w:p>
        </w:tc>
        <w:tc>
          <w:tcPr>
            <w:tcW w:w="1288" w:type="dxa"/>
            <w:tcBorders>
              <w:top w:val="nil"/>
              <w:left w:val="nil"/>
              <w:bottom w:val="single" w:sz="4" w:space="0" w:color="auto"/>
              <w:right w:val="single" w:sz="4" w:space="0" w:color="auto"/>
            </w:tcBorders>
            <w:shd w:val="clear" w:color="000000" w:fill="BFBFBF"/>
            <w:noWrap/>
            <w:vAlign w:val="center"/>
            <w:hideMark/>
          </w:tcPr>
          <w:p w14:paraId="2F4E013A" w14:textId="2EE16B35" w:rsidR="004C6828" w:rsidRPr="000B51FA" w:rsidRDefault="004C6828" w:rsidP="004C6828">
            <w:pPr>
              <w:autoSpaceDE/>
              <w:autoSpaceDN/>
              <w:adjustRightInd/>
              <w:spacing w:after="0"/>
              <w:jc w:val="center"/>
              <w:rPr>
                <w:rFonts w:eastAsia="Times New Roman" w:cs="Arial"/>
                <w:b/>
                <w:bCs/>
                <w:sz w:val="16"/>
                <w:szCs w:val="16"/>
                <w:lang w:eastAsia="en-GB"/>
              </w:rPr>
            </w:pPr>
            <w:r>
              <w:rPr>
                <w:rFonts w:cs="Arial"/>
                <w:b/>
                <w:bCs/>
                <w:sz w:val="16"/>
                <w:szCs w:val="16"/>
              </w:rPr>
              <w:t>-0.940</w:t>
            </w:r>
          </w:p>
        </w:tc>
      </w:tr>
    </w:tbl>
    <w:p w14:paraId="692C33C3" w14:textId="77777777" w:rsidR="0008290E" w:rsidRDefault="0008290E" w:rsidP="00365603">
      <w:pPr>
        <w:spacing w:after="0"/>
        <w:ind w:right="66"/>
        <w:jc w:val="right"/>
        <w:rPr>
          <w:rFonts w:eastAsia="Arial Unicode MS" w:cs="Arial"/>
          <w:b/>
          <w:u w:color="000000"/>
          <w:lang w:eastAsia="en-GB"/>
        </w:rPr>
      </w:pPr>
    </w:p>
    <w:p w14:paraId="1E59C82D" w14:textId="02D81DAE" w:rsidR="00041E11" w:rsidRDefault="00041E11" w:rsidP="00365603">
      <w:pPr>
        <w:spacing w:after="0"/>
        <w:ind w:right="66"/>
        <w:jc w:val="right"/>
        <w:rPr>
          <w:rFonts w:eastAsia="Arial Unicode MS" w:cs="Arial"/>
          <w:b/>
          <w:u w:color="000000"/>
          <w:lang w:eastAsia="en-GB"/>
        </w:rPr>
        <w:sectPr w:rsidR="00041E11" w:rsidSect="00041E11">
          <w:pgSz w:w="16838" w:h="11906" w:orient="landscape"/>
          <w:pgMar w:top="624" w:right="1440" w:bottom="624" w:left="1440" w:header="709" w:footer="709" w:gutter="0"/>
          <w:cols w:space="708"/>
          <w:docGrid w:linePitch="360"/>
        </w:sectPr>
      </w:pPr>
    </w:p>
    <w:p w14:paraId="7561347F" w14:textId="77777777" w:rsidR="00365603" w:rsidRDefault="00365603">
      <w:pPr>
        <w:autoSpaceDE/>
        <w:autoSpaceDN/>
        <w:adjustRightInd/>
        <w:spacing w:after="0"/>
        <w:jc w:val="left"/>
        <w:rPr>
          <w:rFonts w:eastAsia="Arial Unicode MS" w:cs="Arial"/>
          <w:b/>
          <w:u w:color="000000"/>
          <w:lang w:eastAsia="en-GB"/>
        </w:rPr>
      </w:pPr>
    </w:p>
    <w:p w14:paraId="2D27D749" w14:textId="608AA088" w:rsidR="008B7432" w:rsidRDefault="00365603" w:rsidP="00DF2159">
      <w:pPr>
        <w:spacing w:after="0"/>
        <w:ind w:right="66"/>
        <w:jc w:val="right"/>
        <w:rPr>
          <w:rFonts w:eastAsia="Arial Unicode MS" w:cs="Arial"/>
          <w:b/>
          <w:u w:color="000000"/>
          <w:lang w:eastAsia="en-GB"/>
        </w:rPr>
      </w:pPr>
      <w:r>
        <w:rPr>
          <w:rFonts w:eastAsia="Arial Unicode MS" w:cs="Arial"/>
          <w:b/>
          <w:u w:color="000000"/>
          <w:lang w:eastAsia="en-GB"/>
        </w:rPr>
        <w:t>Annex B – Downsizing and Risk Management Reserve</w:t>
      </w:r>
      <w:r w:rsidR="00050E0F">
        <w:rPr>
          <w:rFonts w:eastAsia="Arial Unicode MS" w:cs="Arial"/>
          <w:b/>
          <w:u w:color="000000"/>
          <w:lang w:eastAsia="en-GB"/>
        </w:rPr>
        <w:t>s</w:t>
      </w:r>
    </w:p>
    <w:p w14:paraId="6C7ADBC4" w14:textId="490A3759" w:rsidR="00CA55D4" w:rsidRDefault="00CA55D4" w:rsidP="006908CE">
      <w:pPr>
        <w:spacing w:after="0"/>
        <w:ind w:right="66"/>
        <w:rPr>
          <w:rFonts w:eastAsia="Arial Unicode MS" w:cs="Arial"/>
          <w:b/>
          <w:u w:color="000000"/>
          <w:lang w:eastAsia="en-GB"/>
        </w:rPr>
      </w:pPr>
    </w:p>
    <w:tbl>
      <w:tblPr>
        <w:tblW w:w="15515" w:type="dxa"/>
        <w:tblLook w:val="04A0" w:firstRow="1" w:lastRow="0" w:firstColumn="1" w:lastColumn="0" w:noHBand="0" w:noVBand="1"/>
      </w:tblPr>
      <w:tblGrid>
        <w:gridCol w:w="3989"/>
        <w:gridCol w:w="1805"/>
        <w:gridCol w:w="1368"/>
        <w:gridCol w:w="1455"/>
        <w:gridCol w:w="1368"/>
        <w:gridCol w:w="1368"/>
        <w:gridCol w:w="1368"/>
        <w:gridCol w:w="1368"/>
        <w:gridCol w:w="1426"/>
      </w:tblGrid>
      <w:tr w:rsidR="00B85F86" w:rsidRPr="00B85F86" w14:paraId="1D6986A7" w14:textId="77777777" w:rsidTr="00B85F86">
        <w:trPr>
          <w:trHeight w:val="828"/>
        </w:trPr>
        <w:tc>
          <w:tcPr>
            <w:tcW w:w="3989" w:type="dxa"/>
            <w:tcBorders>
              <w:top w:val="single" w:sz="8" w:space="0" w:color="auto"/>
              <w:left w:val="single" w:sz="8" w:space="0" w:color="auto"/>
              <w:bottom w:val="nil"/>
              <w:right w:val="single" w:sz="4" w:space="0" w:color="auto"/>
            </w:tcBorders>
            <w:shd w:val="clear" w:color="000000" w:fill="BFBFBF"/>
            <w:vAlign w:val="center"/>
            <w:hideMark/>
          </w:tcPr>
          <w:p w14:paraId="79F0E933" w14:textId="77777777" w:rsidR="00B85F86" w:rsidRPr="00B85F86" w:rsidRDefault="00B85F86" w:rsidP="00B85F86">
            <w:pPr>
              <w:autoSpaceDE/>
              <w:autoSpaceDN/>
              <w:adjustRightInd/>
              <w:spacing w:after="0"/>
              <w:jc w:val="left"/>
              <w:rPr>
                <w:rFonts w:eastAsia="Times New Roman" w:cs="Arial"/>
                <w:b/>
                <w:bCs/>
                <w:sz w:val="16"/>
                <w:szCs w:val="16"/>
                <w:lang w:eastAsia="en-GB"/>
              </w:rPr>
            </w:pPr>
            <w:r w:rsidRPr="00B85F86">
              <w:rPr>
                <w:rFonts w:eastAsia="Times New Roman" w:cs="Arial"/>
                <w:b/>
                <w:bCs/>
                <w:sz w:val="16"/>
                <w:szCs w:val="16"/>
                <w:lang w:eastAsia="en-GB"/>
              </w:rPr>
              <w:t>DOWNSIZING &amp; RISK MANAGEMENT RESERVES</w:t>
            </w:r>
          </w:p>
        </w:tc>
        <w:tc>
          <w:tcPr>
            <w:tcW w:w="1805" w:type="dxa"/>
            <w:tcBorders>
              <w:top w:val="single" w:sz="8" w:space="0" w:color="auto"/>
              <w:left w:val="nil"/>
              <w:bottom w:val="single" w:sz="4" w:space="0" w:color="auto"/>
              <w:right w:val="single" w:sz="4" w:space="0" w:color="auto"/>
            </w:tcBorders>
            <w:shd w:val="clear" w:color="000000" w:fill="BFBFBF"/>
            <w:vAlign w:val="center"/>
            <w:hideMark/>
          </w:tcPr>
          <w:p w14:paraId="2A2F496E"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Opening Balance as at 1 April 2016</w:t>
            </w:r>
          </w:p>
        </w:tc>
        <w:tc>
          <w:tcPr>
            <w:tcW w:w="1368" w:type="dxa"/>
            <w:tcBorders>
              <w:top w:val="single" w:sz="8" w:space="0" w:color="auto"/>
              <w:left w:val="nil"/>
              <w:bottom w:val="single" w:sz="4" w:space="0" w:color="auto"/>
              <w:right w:val="single" w:sz="4" w:space="0" w:color="auto"/>
            </w:tcBorders>
            <w:shd w:val="clear" w:color="000000" w:fill="BFBFBF"/>
            <w:vAlign w:val="center"/>
            <w:hideMark/>
          </w:tcPr>
          <w:p w14:paraId="7320DD32"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2016-17 Forecast Spend</w:t>
            </w:r>
          </w:p>
        </w:tc>
        <w:tc>
          <w:tcPr>
            <w:tcW w:w="1455" w:type="dxa"/>
            <w:tcBorders>
              <w:top w:val="single" w:sz="8" w:space="0" w:color="auto"/>
              <w:left w:val="nil"/>
              <w:bottom w:val="single" w:sz="4" w:space="0" w:color="auto"/>
              <w:right w:val="single" w:sz="4" w:space="0" w:color="auto"/>
            </w:tcBorders>
            <w:shd w:val="clear" w:color="000000" w:fill="BFBFBF"/>
            <w:vAlign w:val="center"/>
            <w:hideMark/>
          </w:tcPr>
          <w:p w14:paraId="4ED2B801"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2016-17 Transfers to / from other reserves</w:t>
            </w:r>
          </w:p>
        </w:tc>
        <w:tc>
          <w:tcPr>
            <w:tcW w:w="1368" w:type="dxa"/>
            <w:tcBorders>
              <w:top w:val="single" w:sz="8" w:space="0" w:color="auto"/>
              <w:left w:val="nil"/>
              <w:bottom w:val="single" w:sz="4" w:space="0" w:color="auto"/>
              <w:right w:val="single" w:sz="4" w:space="0" w:color="auto"/>
            </w:tcBorders>
            <w:shd w:val="clear" w:color="000000" w:fill="BFBFBF"/>
            <w:vAlign w:val="center"/>
            <w:hideMark/>
          </w:tcPr>
          <w:p w14:paraId="04E9ED7C"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2016-17 Forecast Closing Balance</w:t>
            </w:r>
          </w:p>
        </w:tc>
        <w:tc>
          <w:tcPr>
            <w:tcW w:w="1368" w:type="dxa"/>
            <w:tcBorders>
              <w:top w:val="single" w:sz="8" w:space="0" w:color="auto"/>
              <w:left w:val="nil"/>
              <w:bottom w:val="single" w:sz="4" w:space="0" w:color="auto"/>
              <w:right w:val="single" w:sz="4" w:space="0" w:color="auto"/>
            </w:tcBorders>
            <w:shd w:val="clear" w:color="000000" w:fill="BFBFBF"/>
            <w:vAlign w:val="center"/>
            <w:hideMark/>
          </w:tcPr>
          <w:p w14:paraId="1D486FD6" w14:textId="625D1D93" w:rsidR="00B85F86" w:rsidRPr="00B85F86" w:rsidRDefault="00B85F86" w:rsidP="00355458">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201</w:t>
            </w:r>
            <w:r w:rsidR="00355458">
              <w:rPr>
                <w:rFonts w:eastAsia="Times New Roman" w:cs="Arial"/>
                <w:b/>
                <w:bCs/>
                <w:sz w:val="16"/>
                <w:szCs w:val="16"/>
                <w:lang w:eastAsia="en-GB"/>
              </w:rPr>
              <w:t>7-18</w:t>
            </w:r>
            <w:r w:rsidRPr="00B85F86">
              <w:rPr>
                <w:rFonts w:eastAsia="Times New Roman" w:cs="Arial"/>
                <w:b/>
                <w:bCs/>
                <w:sz w:val="16"/>
                <w:szCs w:val="16"/>
                <w:lang w:eastAsia="en-GB"/>
              </w:rPr>
              <w:t xml:space="preserve"> Forecast Spend</w:t>
            </w:r>
          </w:p>
        </w:tc>
        <w:tc>
          <w:tcPr>
            <w:tcW w:w="1368" w:type="dxa"/>
            <w:tcBorders>
              <w:top w:val="single" w:sz="8" w:space="0" w:color="auto"/>
              <w:left w:val="nil"/>
              <w:bottom w:val="single" w:sz="4" w:space="0" w:color="auto"/>
              <w:right w:val="single" w:sz="4" w:space="0" w:color="auto"/>
            </w:tcBorders>
            <w:shd w:val="clear" w:color="000000" w:fill="BFBFBF"/>
            <w:vAlign w:val="center"/>
            <w:hideMark/>
          </w:tcPr>
          <w:p w14:paraId="7EF72AA6"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2018-19 Forecast Spend</w:t>
            </w:r>
          </w:p>
        </w:tc>
        <w:tc>
          <w:tcPr>
            <w:tcW w:w="1368" w:type="dxa"/>
            <w:tcBorders>
              <w:top w:val="single" w:sz="8" w:space="0" w:color="auto"/>
              <w:left w:val="nil"/>
              <w:bottom w:val="single" w:sz="4" w:space="0" w:color="auto"/>
              <w:right w:val="single" w:sz="4" w:space="0" w:color="auto"/>
            </w:tcBorders>
            <w:shd w:val="clear" w:color="000000" w:fill="BFBFBF"/>
            <w:vAlign w:val="center"/>
            <w:hideMark/>
          </w:tcPr>
          <w:p w14:paraId="6B2C0E33"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2019-20 Forecast Spend</w:t>
            </w:r>
          </w:p>
        </w:tc>
        <w:tc>
          <w:tcPr>
            <w:tcW w:w="1426" w:type="dxa"/>
            <w:tcBorders>
              <w:top w:val="single" w:sz="8" w:space="0" w:color="auto"/>
              <w:left w:val="nil"/>
              <w:bottom w:val="single" w:sz="4" w:space="0" w:color="auto"/>
              <w:right w:val="single" w:sz="8" w:space="0" w:color="auto"/>
            </w:tcBorders>
            <w:shd w:val="clear" w:color="000000" w:fill="BFBFBF"/>
            <w:vAlign w:val="center"/>
            <w:hideMark/>
          </w:tcPr>
          <w:p w14:paraId="1429A9F3"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Total as at               31 March 2020</w:t>
            </w:r>
          </w:p>
        </w:tc>
      </w:tr>
      <w:tr w:rsidR="00B85F86" w:rsidRPr="00B85F86" w14:paraId="728F5889" w14:textId="77777777" w:rsidTr="00B85F86">
        <w:trPr>
          <w:trHeight w:val="341"/>
        </w:trPr>
        <w:tc>
          <w:tcPr>
            <w:tcW w:w="3989"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745F710F" w14:textId="77777777" w:rsidR="00B85F86" w:rsidRPr="00B85F86" w:rsidRDefault="00B85F86" w:rsidP="00B85F86">
            <w:pPr>
              <w:autoSpaceDE/>
              <w:autoSpaceDN/>
              <w:adjustRightInd/>
              <w:spacing w:after="0"/>
              <w:jc w:val="left"/>
              <w:rPr>
                <w:rFonts w:eastAsia="Times New Roman" w:cs="Arial"/>
                <w:b/>
                <w:bCs/>
                <w:sz w:val="16"/>
                <w:szCs w:val="16"/>
                <w:u w:val="single"/>
                <w:lang w:eastAsia="en-GB"/>
              </w:rPr>
            </w:pPr>
            <w:r w:rsidRPr="00B85F86">
              <w:rPr>
                <w:rFonts w:eastAsia="Times New Roman" w:cs="Arial"/>
                <w:b/>
                <w:bCs/>
                <w:sz w:val="16"/>
                <w:szCs w:val="16"/>
                <w:u w:val="single"/>
                <w:lang w:eastAsia="en-GB"/>
              </w:rPr>
              <w:t>Downsizing Reserve</w:t>
            </w:r>
          </w:p>
        </w:tc>
        <w:tc>
          <w:tcPr>
            <w:tcW w:w="1805" w:type="dxa"/>
            <w:tcBorders>
              <w:top w:val="nil"/>
              <w:left w:val="nil"/>
              <w:bottom w:val="single" w:sz="4" w:space="0" w:color="auto"/>
              <w:right w:val="single" w:sz="4" w:space="0" w:color="auto"/>
            </w:tcBorders>
            <w:shd w:val="clear" w:color="000000" w:fill="BFBFBF"/>
            <w:noWrap/>
            <w:vAlign w:val="center"/>
            <w:hideMark/>
          </w:tcPr>
          <w:p w14:paraId="0C8135BA"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£m</w:t>
            </w:r>
          </w:p>
        </w:tc>
        <w:tc>
          <w:tcPr>
            <w:tcW w:w="1368" w:type="dxa"/>
            <w:tcBorders>
              <w:top w:val="nil"/>
              <w:left w:val="nil"/>
              <w:bottom w:val="single" w:sz="4" w:space="0" w:color="auto"/>
              <w:right w:val="single" w:sz="4" w:space="0" w:color="auto"/>
            </w:tcBorders>
            <w:shd w:val="clear" w:color="000000" w:fill="BFBFBF"/>
            <w:noWrap/>
            <w:vAlign w:val="center"/>
            <w:hideMark/>
          </w:tcPr>
          <w:p w14:paraId="53F6DBFD"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£m</w:t>
            </w:r>
          </w:p>
        </w:tc>
        <w:tc>
          <w:tcPr>
            <w:tcW w:w="1455" w:type="dxa"/>
            <w:tcBorders>
              <w:top w:val="nil"/>
              <w:left w:val="nil"/>
              <w:bottom w:val="single" w:sz="4" w:space="0" w:color="auto"/>
              <w:right w:val="single" w:sz="4" w:space="0" w:color="auto"/>
            </w:tcBorders>
            <w:shd w:val="clear" w:color="000000" w:fill="BFBFBF"/>
            <w:noWrap/>
            <w:vAlign w:val="center"/>
            <w:hideMark/>
          </w:tcPr>
          <w:p w14:paraId="40625453"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£m</w:t>
            </w:r>
          </w:p>
        </w:tc>
        <w:tc>
          <w:tcPr>
            <w:tcW w:w="1368" w:type="dxa"/>
            <w:tcBorders>
              <w:top w:val="nil"/>
              <w:left w:val="nil"/>
              <w:bottom w:val="single" w:sz="4" w:space="0" w:color="auto"/>
              <w:right w:val="single" w:sz="4" w:space="0" w:color="auto"/>
            </w:tcBorders>
            <w:shd w:val="clear" w:color="000000" w:fill="BFBFBF"/>
            <w:noWrap/>
            <w:vAlign w:val="center"/>
            <w:hideMark/>
          </w:tcPr>
          <w:p w14:paraId="1749BEB5"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£m</w:t>
            </w:r>
          </w:p>
        </w:tc>
        <w:tc>
          <w:tcPr>
            <w:tcW w:w="1368" w:type="dxa"/>
            <w:tcBorders>
              <w:top w:val="nil"/>
              <w:left w:val="nil"/>
              <w:bottom w:val="single" w:sz="4" w:space="0" w:color="auto"/>
              <w:right w:val="single" w:sz="4" w:space="0" w:color="auto"/>
            </w:tcBorders>
            <w:shd w:val="clear" w:color="000000" w:fill="BFBFBF"/>
            <w:noWrap/>
            <w:vAlign w:val="center"/>
            <w:hideMark/>
          </w:tcPr>
          <w:p w14:paraId="0325F555"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£m</w:t>
            </w:r>
          </w:p>
        </w:tc>
        <w:tc>
          <w:tcPr>
            <w:tcW w:w="1368" w:type="dxa"/>
            <w:tcBorders>
              <w:top w:val="nil"/>
              <w:left w:val="nil"/>
              <w:bottom w:val="single" w:sz="4" w:space="0" w:color="auto"/>
              <w:right w:val="single" w:sz="4" w:space="0" w:color="auto"/>
            </w:tcBorders>
            <w:shd w:val="clear" w:color="000000" w:fill="BFBFBF"/>
            <w:noWrap/>
            <w:vAlign w:val="center"/>
            <w:hideMark/>
          </w:tcPr>
          <w:p w14:paraId="62416D9B"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£m</w:t>
            </w:r>
          </w:p>
        </w:tc>
        <w:tc>
          <w:tcPr>
            <w:tcW w:w="1368" w:type="dxa"/>
            <w:tcBorders>
              <w:top w:val="nil"/>
              <w:left w:val="nil"/>
              <w:bottom w:val="single" w:sz="4" w:space="0" w:color="auto"/>
              <w:right w:val="single" w:sz="4" w:space="0" w:color="auto"/>
            </w:tcBorders>
            <w:shd w:val="clear" w:color="000000" w:fill="BFBFBF"/>
            <w:noWrap/>
            <w:vAlign w:val="center"/>
            <w:hideMark/>
          </w:tcPr>
          <w:p w14:paraId="0316C834"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£m</w:t>
            </w:r>
          </w:p>
        </w:tc>
        <w:tc>
          <w:tcPr>
            <w:tcW w:w="1426" w:type="dxa"/>
            <w:tcBorders>
              <w:top w:val="nil"/>
              <w:left w:val="nil"/>
              <w:bottom w:val="single" w:sz="4" w:space="0" w:color="auto"/>
              <w:right w:val="single" w:sz="8" w:space="0" w:color="auto"/>
            </w:tcBorders>
            <w:shd w:val="clear" w:color="000000" w:fill="BFBFBF"/>
            <w:noWrap/>
            <w:vAlign w:val="center"/>
            <w:hideMark/>
          </w:tcPr>
          <w:p w14:paraId="1C0B24CC"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£m</w:t>
            </w:r>
          </w:p>
        </w:tc>
      </w:tr>
      <w:tr w:rsidR="00B85F86" w:rsidRPr="00B85F86" w14:paraId="62A8C953" w14:textId="77777777" w:rsidTr="00B85F86">
        <w:trPr>
          <w:trHeight w:val="458"/>
        </w:trPr>
        <w:tc>
          <w:tcPr>
            <w:tcW w:w="3989" w:type="dxa"/>
            <w:tcBorders>
              <w:top w:val="nil"/>
              <w:left w:val="single" w:sz="8" w:space="0" w:color="auto"/>
              <w:bottom w:val="single" w:sz="4" w:space="0" w:color="auto"/>
              <w:right w:val="single" w:sz="4" w:space="0" w:color="auto"/>
            </w:tcBorders>
            <w:shd w:val="clear" w:color="auto" w:fill="auto"/>
            <w:vAlign w:val="center"/>
            <w:hideMark/>
          </w:tcPr>
          <w:p w14:paraId="004479FB" w14:textId="77777777" w:rsidR="00B85F86" w:rsidRPr="00B85F86" w:rsidRDefault="00B85F86" w:rsidP="00B85F86">
            <w:pPr>
              <w:autoSpaceDE/>
              <w:autoSpaceDN/>
              <w:adjustRightInd/>
              <w:spacing w:after="0"/>
              <w:jc w:val="left"/>
              <w:rPr>
                <w:rFonts w:eastAsia="Times New Roman" w:cs="Arial"/>
                <w:sz w:val="16"/>
                <w:szCs w:val="16"/>
                <w:lang w:eastAsia="en-GB"/>
              </w:rPr>
            </w:pPr>
            <w:r w:rsidRPr="00B85F86">
              <w:rPr>
                <w:rFonts w:eastAsia="Times New Roman" w:cs="Arial"/>
                <w:sz w:val="16"/>
                <w:szCs w:val="16"/>
                <w:lang w:eastAsia="en-GB"/>
              </w:rPr>
              <w:t>Redundancy provision</w:t>
            </w:r>
          </w:p>
        </w:tc>
        <w:tc>
          <w:tcPr>
            <w:tcW w:w="1805" w:type="dxa"/>
            <w:tcBorders>
              <w:top w:val="nil"/>
              <w:left w:val="nil"/>
              <w:bottom w:val="single" w:sz="4" w:space="0" w:color="auto"/>
              <w:right w:val="single" w:sz="4" w:space="0" w:color="auto"/>
            </w:tcBorders>
            <w:shd w:val="clear" w:color="auto" w:fill="auto"/>
            <w:noWrap/>
            <w:vAlign w:val="center"/>
            <w:hideMark/>
          </w:tcPr>
          <w:p w14:paraId="5E084F8C"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-50.849</w:t>
            </w:r>
          </w:p>
        </w:tc>
        <w:tc>
          <w:tcPr>
            <w:tcW w:w="1368" w:type="dxa"/>
            <w:tcBorders>
              <w:top w:val="nil"/>
              <w:left w:val="nil"/>
              <w:bottom w:val="single" w:sz="4" w:space="0" w:color="auto"/>
              <w:right w:val="single" w:sz="4" w:space="0" w:color="auto"/>
            </w:tcBorders>
            <w:shd w:val="clear" w:color="auto" w:fill="auto"/>
            <w:noWrap/>
            <w:vAlign w:val="center"/>
            <w:hideMark/>
          </w:tcPr>
          <w:p w14:paraId="7FE0A4FE"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8.210</w:t>
            </w:r>
          </w:p>
        </w:tc>
        <w:tc>
          <w:tcPr>
            <w:tcW w:w="1455" w:type="dxa"/>
            <w:tcBorders>
              <w:top w:val="nil"/>
              <w:left w:val="nil"/>
              <w:bottom w:val="single" w:sz="4" w:space="0" w:color="auto"/>
              <w:right w:val="single" w:sz="4" w:space="0" w:color="auto"/>
            </w:tcBorders>
            <w:shd w:val="clear" w:color="auto" w:fill="auto"/>
            <w:noWrap/>
            <w:vAlign w:val="center"/>
            <w:hideMark/>
          </w:tcPr>
          <w:p w14:paraId="6826AB84"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21.470</w:t>
            </w:r>
          </w:p>
        </w:tc>
        <w:tc>
          <w:tcPr>
            <w:tcW w:w="1368" w:type="dxa"/>
            <w:tcBorders>
              <w:top w:val="nil"/>
              <w:left w:val="nil"/>
              <w:bottom w:val="single" w:sz="4" w:space="0" w:color="auto"/>
              <w:right w:val="single" w:sz="4" w:space="0" w:color="auto"/>
            </w:tcBorders>
            <w:shd w:val="clear" w:color="000000" w:fill="BFBFBF"/>
            <w:noWrap/>
            <w:vAlign w:val="center"/>
            <w:hideMark/>
          </w:tcPr>
          <w:p w14:paraId="2E8EE1E9"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-21.169</w:t>
            </w:r>
          </w:p>
        </w:tc>
        <w:tc>
          <w:tcPr>
            <w:tcW w:w="1368" w:type="dxa"/>
            <w:tcBorders>
              <w:top w:val="nil"/>
              <w:left w:val="nil"/>
              <w:bottom w:val="single" w:sz="4" w:space="0" w:color="auto"/>
              <w:right w:val="single" w:sz="4" w:space="0" w:color="auto"/>
            </w:tcBorders>
            <w:shd w:val="clear" w:color="auto" w:fill="auto"/>
            <w:noWrap/>
            <w:vAlign w:val="center"/>
            <w:hideMark/>
          </w:tcPr>
          <w:p w14:paraId="3A7D8442"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12.109</w:t>
            </w:r>
          </w:p>
        </w:tc>
        <w:tc>
          <w:tcPr>
            <w:tcW w:w="1368" w:type="dxa"/>
            <w:tcBorders>
              <w:top w:val="nil"/>
              <w:left w:val="nil"/>
              <w:bottom w:val="single" w:sz="4" w:space="0" w:color="auto"/>
              <w:right w:val="single" w:sz="4" w:space="0" w:color="auto"/>
            </w:tcBorders>
            <w:shd w:val="clear" w:color="auto" w:fill="auto"/>
            <w:noWrap/>
            <w:vAlign w:val="center"/>
            <w:hideMark/>
          </w:tcPr>
          <w:p w14:paraId="7C479EEE"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9.060</w:t>
            </w:r>
          </w:p>
        </w:tc>
        <w:tc>
          <w:tcPr>
            <w:tcW w:w="1368" w:type="dxa"/>
            <w:tcBorders>
              <w:top w:val="nil"/>
              <w:left w:val="nil"/>
              <w:bottom w:val="single" w:sz="4" w:space="0" w:color="auto"/>
              <w:right w:val="single" w:sz="4" w:space="0" w:color="auto"/>
            </w:tcBorders>
            <w:shd w:val="clear" w:color="auto" w:fill="auto"/>
            <w:noWrap/>
            <w:vAlign w:val="center"/>
            <w:hideMark/>
          </w:tcPr>
          <w:p w14:paraId="62A91130"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426" w:type="dxa"/>
            <w:tcBorders>
              <w:top w:val="nil"/>
              <w:left w:val="nil"/>
              <w:bottom w:val="single" w:sz="4" w:space="0" w:color="auto"/>
              <w:right w:val="single" w:sz="8" w:space="0" w:color="auto"/>
            </w:tcBorders>
            <w:shd w:val="clear" w:color="000000" w:fill="BFBFBF"/>
            <w:noWrap/>
            <w:vAlign w:val="center"/>
            <w:hideMark/>
          </w:tcPr>
          <w:p w14:paraId="0B053AAE"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r>
      <w:tr w:rsidR="00B85F86" w:rsidRPr="00B85F86" w14:paraId="6BCE5C2E" w14:textId="77777777" w:rsidTr="00B85F86">
        <w:trPr>
          <w:trHeight w:val="458"/>
        </w:trPr>
        <w:tc>
          <w:tcPr>
            <w:tcW w:w="3989" w:type="dxa"/>
            <w:tcBorders>
              <w:top w:val="nil"/>
              <w:left w:val="single" w:sz="8" w:space="0" w:color="auto"/>
              <w:bottom w:val="single" w:sz="4" w:space="0" w:color="auto"/>
              <w:right w:val="single" w:sz="4" w:space="0" w:color="auto"/>
            </w:tcBorders>
            <w:shd w:val="clear" w:color="auto" w:fill="auto"/>
            <w:vAlign w:val="center"/>
            <w:hideMark/>
          </w:tcPr>
          <w:p w14:paraId="00406420" w14:textId="77777777" w:rsidR="00B85F86" w:rsidRPr="00B85F86" w:rsidRDefault="00B85F86" w:rsidP="00B85F86">
            <w:pPr>
              <w:autoSpaceDE/>
              <w:autoSpaceDN/>
              <w:adjustRightInd/>
              <w:spacing w:after="0"/>
              <w:jc w:val="left"/>
              <w:rPr>
                <w:rFonts w:eastAsia="Times New Roman" w:cs="Arial"/>
                <w:sz w:val="16"/>
                <w:szCs w:val="16"/>
                <w:lang w:eastAsia="en-GB"/>
              </w:rPr>
            </w:pPr>
            <w:r w:rsidRPr="00B85F86">
              <w:rPr>
                <w:rFonts w:eastAsia="Times New Roman" w:cs="Arial"/>
                <w:sz w:val="16"/>
                <w:szCs w:val="16"/>
                <w:lang w:eastAsia="en-GB"/>
              </w:rPr>
              <w:t>Transitional costs associated with Transformation Programme</w:t>
            </w:r>
          </w:p>
        </w:tc>
        <w:tc>
          <w:tcPr>
            <w:tcW w:w="1805" w:type="dxa"/>
            <w:tcBorders>
              <w:top w:val="nil"/>
              <w:left w:val="nil"/>
              <w:bottom w:val="single" w:sz="4" w:space="0" w:color="auto"/>
              <w:right w:val="single" w:sz="4" w:space="0" w:color="auto"/>
            </w:tcBorders>
            <w:shd w:val="clear" w:color="auto" w:fill="auto"/>
            <w:noWrap/>
            <w:vAlign w:val="center"/>
            <w:hideMark/>
          </w:tcPr>
          <w:p w14:paraId="414DD37A"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-2.328</w:t>
            </w:r>
          </w:p>
        </w:tc>
        <w:tc>
          <w:tcPr>
            <w:tcW w:w="1368" w:type="dxa"/>
            <w:tcBorders>
              <w:top w:val="nil"/>
              <w:left w:val="nil"/>
              <w:bottom w:val="single" w:sz="4" w:space="0" w:color="auto"/>
              <w:right w:val="single" w:sz="4" w:space="0" w:color="auto"/>
            </w:tcBorders>
            <w:shd w:val="clear" w:color="auto" w:fill="auto"/>
            <w:noWrap/>
            <w:vAlign w:val="center"/>
            <w:hideMark/>
          </w:tcPr>
          <w:p w14:paraId="61B6BD78"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455" w:type="dxa"/>
            <w:tcBorders>
              <w:top w:val="nil"/>
              <w:left w:val="nil"/>
              <w:bottom w:val="single" w:sz="4" w:space="0" w:color="auto"/>
              <w:right w:val="single" w:sz="4" w:space="0" w:color="auto"/>
            </w:tcBorders>
            <w:shd w:val="clear" w:color="auto" w:fill="auto"/>
            <w:noWrap/>
            <w:vAlign w:val="center"/>
            <w:hideMark/>
          </w:tcPr>
          <w:p w14:paraId="3A8F9E21"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2.328</w:t>
            </w:r>
          </w:p>
        </w:tc>
        <w:tc>
          <w:tcPr>
            <w:tcW w:w="1368" w:type="dxa"/>
            <w:tcBorders>
              <w:top w:val="nil"/>
              <w:left w:val="nil"/>
              <w:bottom w:val="single" w:sz="4" w:space="0" w:color="auto"/>
              <w:right w:val="single" w:sz="4" w:space="0" w:color="auto"/>
            </w:tcBorders>
            <w:shd w:val="clear" w:color="000000" w:fill="BFBFBF"/>
            <w:noWrap/>
            <w:vAlign w:val="center"/>
            <w:hideMark/>
          </w:tcPr>
          <w:p w14:paraId="32B2234B"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7700BCC6"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7256F189"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0C7D0D7C"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426" w:type="dxa"/>
            <w:tcBorders>
              <w:top w:val="nil"/>
              <w:left w:val="nil"/>
              <w:bottom w:val="single" w:sz="4" w:space="0" w:color="auto"/>
              <w:right w:val="single" w:sz="8" w:space="0" w:color="auto"/>
            </w:tcBorders>
            <w:shd w:val="clear" w:color="000000" w:fill="BFBFBF"/>
            <w:noWrap/>
            <w:vAlign w:val="center"/>
            <w:hideMark/>
          </w:tcPr>
          <w:p w14:paraId="347AF323"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r>
      <w:tr w:rsidR="00B85F86" w:rsidRPr="00B85F86" w14:paraId="6866F54B" w14:textId="77777777" w:rsidTr="00B85F86">
        <w:trPr>
          <w:trHeight w:val="458"/>
        </w:trPr>
        <w:tc>
          <w:tcPr>
            <w:tcW w:w="3989" w:type="dxa"/>
            <w:tcBorders>
              <w:top w:val="nil"/>
              <w:left w:val="single" w:sz="8" w:space="0" w:color="auto"/>
              <w:bottom w:val="single" w:sz="4" w:space="0" w:color="auto"/>
              <w:right w:val="single" w:sz="4" w:space="0" w:color="auto"/>
            </w:tcBorders>
            <w:shd w:val="clear" w:color="auto" w:fill="auto"/>
            <w:vAlign w:val="center"/>
            <w:hideMark/>
          </w:tcPr>
          <w:p w14:paraId="66B34213" w14:textId="77777777" w:rsidR="00B85F86" w:rsidRPr="00B85F86" w:rsidRDefault="00B85F86" w:rsidP="00B85F86">
            <w:pPr>
              <w:autoSpaceDE/>
              <w:autoSpaceDN/>
              <w:adjustRightInd/>
              <w:spacing w:after="0"/>
              <w:jc w:val="left"/>
              <w:rPr>
                <w:rFonts w:eastAsia="Times New Roman" w:cs="Arial"/>
                <w:sz w:val="16"/>
                <w:szCs w:val="16"/>
                <w:lang w:eastAsia="en-GB"/>
              </w:rPr>
            </w:pPr>
            <w:r w:rsidRPr="00B85F86">
              <w:rPr>
                <w:rFonts w:eastAsia="Times New Roman" w:cs="Arial"/>
                <w:sz w:val="16"/>
                <w:szCs w:val="16"/>
                <w:lang w:eastAsia="en-GB"/>
              </w:rPr>
              <w:t>Review for Adult Social Care (</w:t>
            </w:r>
            <w:proofErr w:type="spellStart"/>
            <w:r w:rsidRPr="00B85F86">
              <w:rPr>
                <w:rFonts w:eastAsia="Times New Roman" w:cs="Arial"/>
                <w:sz w:val="16"/>
                <w:szCs w:val="16"/>
                <w:lang w:eastAsia="en-GB"/>
              </w:rPr>
              <w:t>Newtons</w:t>
            </w:r>
            <w:proofErr w:type="spellEnd"/>
            <w:r w:rsidRPr="00B85F86">
              <w:rPr>
                <w:rFonts w:eastAsia="Times New Roman" w:cs="Arial"/>
                <w:sz w:val="16"/>
                <w:szCs w:val="16"/>
                <w:lang w:eastAsia="en-GB"/>
              </w:rPr>
              <w:t>)</w:t>
            </w:r>
          </w:p>
        </w:tc>
        <w:tc>
          <w:tcPr>
            <w:tcW w:w="1805" w:type="dxa"/>
            <w:tcBorders>
              <w:top w:val="nil"/>
              <w:left w:val="nil"/>
              <w:bottom w:val="single" w:sz="4" w:space="0" w:color="auto"/>
              <w:right w:val="single" w:sz="4" w:space="0" w:color="auto"/>
            </w:tcBorders>
            <w:shd w:val="clear" w:color="auto" w:fill="auto"/>
            <w:noWrap/>
            <w:vAlign w:val="center"/>
            <w:hideMark/>
          </w:tcPr>
          <w:p w14:paraId="05FACC5D"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-7.000</w:t>
            </w:r>
          </w:p>
        </w:tc>
        <w:tc>
          <w:tcPr>
            <w:tcW w:w="1368" w:type="dxa"/>
            <w:tcBorders>
              <w:top w:val="nil"/>
              <w:left w:val="nil"/>
              <w:bottom w:val="single" w:sz="4" w:space="0" w:color="auto"/>
              <w:right w:val="single" w:sz="4" w:space="0" w:color="auto"/>
            </w:tcBorders>
            <w:shd w:val="clear" w:color="auto" w:fill="auto"/>
            <w:noWrap/>
            <w:vAlign w:val="center"/>
            <w:hideMark/>
          </w:tcPr>
          <w:p w14:paraId="017ED020"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5.961</w:t>
            </w:r>
          </w:p>
        </w:tc>
        <w:tc>
          <w:tcPr>
            <w:tcW w:w="1455" w:type="dxa"/>
            <w:tcBorders>
              <w:top w:val="nil"/>
              <w:left w:val="nil"/>
              <w:bottom w:val="single" w:sz="4" w:space="0" w:color="auto"/>
              <w:right w:val="single" w:sz="4" w:space="0" w:color="auto"/>
            </w:tcBorders>
            <w:shd w:val="clear" w:color="auto" w:fill="auto"/>
            <w:noWrap/>
            <w:vAlign w:val="center"/>
            <w:hideMark/>
          </w:tcPr>
          <w:p w14:paraId="790301E9"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-0.400</w:t>
            </w:r>
          </w:p>
        </w:tc>
        <w:tc>
          <w:tcPr>
            <w:tcW w:w="1368" w:type="dxa"/>
            <w:tcBorders>
              <w:top w:val="nil"/>
              <w:left w:val="nil"/>
              <w:bottom w:val="single" w:sz="4" w:space="0" w:color="auto"/>
              <w:right w:val="single" w:sz="4" w:space="0" w:color="auto"/>
            </w:tcBorders>
            <w:shd w:val="clear" w:color="000000" w:fill="BFBFBF"/>
            <w:noWrap/>
            <w:vAlign w:val="center"/>
            <w:hideMark/>
          </w:tcPr>
          <w:p w14:paraId="036D40E2"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-1.439</w:t>
            </w:r>
          </w:p>
        </w:tc>
        <w:tc>
          <w:tcPr>
            <w:tcW w:w="1368" w:type="dxa"/>
            <w:tcBorders>
              <w:top w:val="nil"/>
              <w:left w:val="nil"/>
              <w:bottom w:val="single" w:sz="4" w:space="0" w:color="auto"/>
              <w:right w:val="single" w:sz="4" w:space="0" w:color="auto"/>
            </w:tcBorders>
            <w:shd w:val="clear" w:color="auto" w:fill="auto"/>
            <w:noWrap/>
            <w:vAlign w:val="center"/>
            <w:hideMark/>
          </w:tcPr>
          <w:p w14:paraId="115ED913"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1.439</w:t>
            </w:r>
          </w:p>
        </w:tc>
        <w:tc>
          <w:tcPr>
            <w:tcW w:w="1368" w:type="dxa"/>
            <w:tcBorders>
              <w:top w:val="nil"/>
              <w:left w:val="nil"/>
              <w:bottom w:val="single" w:sz="4" w:space="0" w:color="auto"/>
              <w:right w:val="single" w:sz="4" w:space="0" w:color="auto"/>
            </w:tcBorders>
            <w:shd w:val="clear" w:color="auto" w:fill="auto"/>
            <w:noWrap/>
            <w:vAlign w:val="center"/>
            <w:hideMark/>
          </w:tcPr>
          <w:p w14:paraId="7EBA5F80"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4EEEBB25"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426" w:type="dxa"/>
            <w:tcBorders>
              <w:top w:val="nil"/>
              <w:left w:val="nil"/>
              <w:bottom w:val="single" w:sz="4" w:space="0" w:color="auto"/>
              <w:right w:val="single" w:sz="8" w:space="0" w:color="auto"/>
            </w:tcBorders>
            <w:shd w:val="clear" w:color="000000" w:fill="BFBFBF"/>
            <w:noWrap/>
            <w:vAlign w:val="center"/>
            <w:hideMark/>
          </w:tcPr>
          <w:p w14:paraId="378E47D8"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r>
      <w:tr w:rsidR="00B85F86" w:rsidRPr="00B85F86" w14:paraId="4B0E7676" w14:textId="77777777" w:rsidTr="00B85F86">
        <w:trPr>
          <w:trHeight w:val="458"/>
        </w:trPr>
        <w:tc>
          <w:tcPr>
            <w:tcW w:w="3989" w:type="dxa"/>
            <w:tcBorders>
              <w:top w:val="nil"/>
              <w:left w:val="single" w:sz="8" w:space="0" w:color="auto"/>
              <w:bottom w:val="single" w:sz="4" w:space="0" w:color="auto"/>
              <w:right w:val="single" w:sz="4" w:space="0" w:color="auto"/>
            </w:tcBorders>
            <w:shd w:val="clear" w:color="auto" w:fill="auto"/>
            <w:vAlign w:val="center"/>
            <w:hideMark/>
          </w:tcPr>
          <w:p w14:paraId="50DD378E" w14:textId="77777777" w:rsidR="00B85F86" w:rsidRPr="00B85F86" w:rsidRDefault="00B85F86" w:rsidP="00B85F86">
            <w:pPr>
              <w:autoSpaceDE/>
              <w:autoSpaceDN/>
              <w:adjustRightInd/>
              <w:spacing w:after="0"/>
              <w:jc w:val="left"/>
              <w:rPr>
                <w:rFonts w:eastAsia="Times New Roman" w:cs="Arial"/>
                <w:sz w:val="16"/>
                <w:szCs w:val="16"/>
                <w:lang w:eastAsia="en-GB"/>
              </w:rPr>
            </w:pPr>
            <w:r w:rsidRPr="00B85F86">
              <w:rPr>
                <w:rFonts w:eastAsia="Times New Roman" w:cs="Arial"/>
                <w:sz w:val="16"/>
                <w:szCs w:val="16"/>
                <w:lang w:eastAsia="en-GB"/>
              </w:rPr>
              <w:t>Unallocated surplus</w:t>
            </w:r>
          </w:p>
        </w:tc>
        <w:tc>
          <w:tcPr>
            <w:tcW w:w="1805" w:type="dxa"/>
            <w:tcBorders>
              <w:top w:val="nil"/>
              <w:left w:val="nil"/>
              <w:bottom w:val="single" w:sz="4" w:space="0" w:color="auto"/>
              <w:right w:val="single" w:sz="4" w:space="0" w:color="auto"/>
            </w:tcBorders>
            <w:shd w:val="clear" w:color="auto" w:fill="auto"/>
            <w:noWrap/>
            <w:vAlign w:val="center"/>
            <w:hideMark/>
          </w:tcPr>
          <w:p w14:paraId="51A91F59"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-4.664</w:t>
            </w:r>
          </w:p>
        </w:tc>
        <w:tc>
          <w:tcPr>
            <w:tcW w:w="1368" w:type="dxa"/>
            <w:tcBorders>
              <w:top w:val="nil"/>
              <w:left w:val="nil"/>
              <w:bottom w:val="single" w:sz="4" w:space="0" w:color="auto"/>
              <w:right w:val="single" w:sz="4" w:space="0" w:color="auto"/>
            </w:tcBorders>
            <w:shd w:val="clear" w:color="auto" w:fill="auto"/>
            <w:noWrap/>
            <w:vAlign w:val="center"/>
            <w:hideMark/>
          </w:tcPr>
          <w:p w14:paraId="60246E39"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455" w:type="dxa"/>
            <w:tcBorders>
              <w:top w:val="nil"/>
              <w:left w:val="nil"/>
              <w:bottom w:val="single" w:sz="4" w:space="0" w:color="auto"/>
              <w:right w:val="single" w:sz="4" w:space="0" w:color="auto"/>
            </w:tcBorders>
            <w:shd w:val="clear" w:color="auto" w:fill="auto"/>
            <w:noWrap/>
            <w:vAlign w:val="center"/>
            <w:hideMark/>
          </w:tcPr>
          <w:p w14:paraId="70A57930"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4.664</w:t>
            </w:r>
          </w:p>
        </w:tc>
        <w:tc>
          <w:tcPr>
            <w:tcW w:w="1368" w:type="dxa"/>
            <w:tcBorders>
              <w:top w:val="nil"/>
              <w:left w:val="nil"/>
              <w:bottom w:val="single" w:sz="4" w:space="0" w:color="auto"/>
              <w:right w:val="single" w:sz="4" w:space="0" w:color="auto"/>
            </w:tcBorders>
            <w:shd w:val="clear" w:color="000000" w:fill="BFBFBF"/>
            <w:noWrap/>
            <w:vAlign w:val="center"/>
            <w:hideMark/>
          </w:tcPr>
          <w:p w14:paraId="172729A4"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54752E27"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2E786323"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5B800ECE"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426" w:type="dxa"/>
            <w:tcBorders>
              <w:top w:val="nil"/>
              <w:left w:val="nil"/>
              <w:bottom w:val="single" w:sz="4" w:space="0" w:color="auto"/>
              <w:right w:val="single" w:sz="8" w:space="0" w:color="auto"/>
            </w:tcBorders>
            <w:shd w:val="clear" w:color="000000" w:fill="BFBFBF"/>
            <w:noWrap/>
            <w:vAlign w:val="center"/>
            <w:hideMark/>
          </w:tcPr>
          <w:p w14:paraId="5AC4CD8D"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r>
      <w:tr w:rsidR="00B85F86" w:rsidRPr="00B85F86" w14:paraId="6CA618E8" w14:textId="77777777" w:rsidTr="00B85F86">
        <w:trPr>
          <w:trHeight w:val="341"/>
        </w:trPr>
        <w:tc>
          <w:tcPr>
            <w:tcW w:w="3989" w:type="dxa"/>
            <w:tcBorders>
              <w:top w:val="nil"/>
              <w:left w:val="single" w:sz="8" w:space="0" w:color="auto"/>
              <w:bottom w:val="single" w:sz="8" w:space="0" w:color="auto"/>
              <w:right w:val="single" w:sz="4" w:space="0" w:color="auto"/>
            </w:tcBorders>
            <w:shd w:val="clear" w:color="000000" w:fill="BFBFBF"/>
            <w:vAlign w:val="center"/>
            <w:hideMark/>
          </w:tcPr>
          <w:p w14:paraId="04E3575A" w14:textId="77777777" w:rsidR="00B85F86" w:rsidRPr="00B85F86" w:rsidRDefault="00B85F86" w:rsidP="00B85F86">
            <w:pPr>
              <w:autoSpaceDE/>
              <w:autoSpaceDN/>
              <w:adjustRightInd/>
              <w:spacing w:after="0"/>
              <w:jc w:val="left"/>
              <w:rPr>
                <w:rFonts w:eastAsia="Times New Roman" w:cs="Arial"/>
                <w:b/>
                <w:bCs/>
                <w:sz w:val="16"/>
                <w:szCs w:val="16"/>
                <w:lang w:eastAsia="en-GB"/>
              </w:rPr>
            </w:pPr>
            <w:r w:rsidRPr="00B85F86">
              <w:rPr>
                <w:rFonts w:eastAsia="Times New Roman" w:cs="Arial"/>
                <w:b/>
                <w:bCs/>
                <w:sz w:val="16"/>
                <w:szCs w:val="16"/>
                <w:lang w:eastAsia="en-GB"/>
              </w:rPr>
              <w:t>Total on Downsizing Reserve</w:t>
            </w:r>
          </w:p>
        </w:tc>
        <w:tc>
          <w:tcPr>
            <w:tcW w:w="1805" w:type="dxa"/>
            <w:tcBorders>
              <w:top w:val="nil"/>
              <w:left w:val="nil"/>
              <w:bottom w:val="single" w:sz="8" w:space="0" w:color="auto"/>
              <w:right w:val="single" w:sz="4" w:space="0" w:color="auto"/>
            </w:tcBorders>
            <w:shd w:val="clear" w:color="000000" w:fill="BFBFBF"/>
            <w:noWrap/>
            <w:vAlign w:val="center"/>
            <w:hideMark/>
          </w:tcPr>
          <w:p w14:paraId="209AB9F1"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-64.841</w:t>
            </w:r>
          </w:p>
        </w:tc>
        <w:tc>
          <w:tcPr>
            <w:tcW w:w="1368" w:type="dxa"/>
            <w:tcBorders>
              <w:top w:val="nil"/>
              <w:left w:val="nil"/>
              <w:bottom w:val="single" w:sz="8" w:space="0" w:color="auto"/>
              <w:right w:val="single" w:sz="4" w:space="0" w:color="auto"/>
            </w:tcBorders>
            <w:shd w:val="clear" w:color="000000" w:fill="BFBFBF"/>
            <w:noWrap/>
            <w:vAlign w:val="center"/>
            <w:hideMark/>
          </w:tcPr>
          <w:p w14:paraId="6ADC0666"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14.171</w:t>
            </w:r>
          </w:p>
        </w:tc>
        <w:tc>
          <w:tcPr>
            <w:tcW w:w="1455" w:type="dxa"/>
            <w:tcBorders>
              <w:top w:val="nil"/>
              <w:left w:val="nil"/>
              <w:bottom w:val="single" w:sz="8" w:space="0" w:color="auto"/>
              <w:right w:val="single" w:sz="4" w:space="0" w:color="auto"/>
            </w:tcBorders>
            <w:shd w:val="clear" w:color="000000" w:fill="BFBFBF"/>
            <w:noWrap/>
            <w:vAlign w:val="center"/>
            <w:hideMark/>
          </w:tcPr>
          <w:p w14:paraId="15EE6B92"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28.062</w:t>
            </w:r>
          </w:p>
        </w:tc>
        <w:tc>
          <w:tcPr>
            <w:tcW w:w="1368" w:type="dxa"/>
            <w:tcBorders>
              <w:top w:val="nil"/>
              <w:left w:val="nil"/>
              <w:bottom w:val="single" w:sz="8" w:space="0" w:color="auto"/>
              <w:right w:val="single" w:sz="4" w:space="0" w:color="auto"/>
            </w:tcBorders>
            <w:shd w:val="clear" w:color="000000" w:fill="BFBFBF"/>
            <w:noWrap/>
            <w:vAlign w:val="center"/>
            <w:hideMark/>
          </w:tcPr>
          <w:p w14:paraId="76A184E5"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-22.608</w:t>
            </w:r>
          </w:p>
        </w:tc>
        <w:tc>
          <w:tcPr>
            <w:tcW w:w="1368" w:type="dxa"/>
            <w:tcBorders>
              <w:top w:val="nil"/>
              <w:left w:val="nil"/>
              <w:bottom w:val="single" w:sz="8" w:space="0" w:color="auto"/>
              <w:right w:val="single" w:sz="4" w:space="0" w:color="auto"/>
            </w:tcBorders>
            <w:shd w:val="clear" w:color="000000" w:fill="BFBFBF"/>
            <w:noWrap/>
            <w:vAlign w:val="center"/>
            <w:hideMark/>
          </w:tcPr>
          <w:p w14:paraId="2D74429F"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13.548</w:t>
            </w:r>
          </w:p>
        </w:tc>
        <w:tc>
          <w:tcPr>
            <w:tcW w:w="1368" w:type="dxa"/>
            <w:tcBorders>
              <w:top w:val="nil"/>
              <w:left w:val="nil"/>
              <w:bottom w:val="single" w:sz="8" w:space="0" w:color="auto"/>
              <w:right w:val="single" w:sz="4" w:space="0" w:color="auto"/>
            </w:tcBorders>
            <w:shd w:val="clear" w:color="000000" w:fill="BFBFBF"/>
            <w:noWrap/>
            <w:vAlign w:val="center"/>
            <w:hideMark/>
          </w:tcPr>
          <w:p w14:paraId="602CAA4C"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9.060</w:t>
            </w:r>
          </w:p>
        </w:tc>
        <w:tc>
          <w:tcPr>
            <w:tcW w:w="1368" w:type="dxa"/>
            <w:tcBorders>
              <w:top w:val="nil"/>
              <w:left w:val="nil"/>
              <w:bottom w:val="single" w:sz="8" w:space="0" w:color="auto"/>
              <w:right w:val="single" w:sz="4" w:space="0" w:color="auto"/>
            </w:tcBorders>
            <w:shd w:val="clear" w:color="000000" w:fill="BFBFBF"/>
            <w:noWrap/>
            <w:vAlign w:val="center"/>
            <w:hideMark/>
          </w:tcPr>
          <w:p w14:paraId="2C8E0BF7"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c>
          <w:tcPr>
            <w:tcW w:w="1426" w:type="dxa"/>
            <w:tcBorders>
              <w:top w:val="nil"/>
              <w:left w:val="nil"/>
              <w:bottom w:val="single" w:sz="8" w:space="0" w:color="auto"/>
              <w:right w:val="single" w:sz="8" w:space="0" w:color="auto"/>
            </w:tcBorders>
            <w:shd w:val="clear" w:color="000000" w:fill="BFBFBF"/>
            <w:noWrap/>
            <w:vAlign w:val="center"/>
            <w:hideMark/>
          </w:tcPr>
          <w:p w14:paraId="606DBADA"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r>
      <w:tr w:rsidR="00B85F86" w:rsidRPr="00B85F86" w14:paraId="6FAC49F4" w14:textId="77777777" w:rsidTr="00B85F86">
        <w:trPr>
          <w:trHeight w:val="380"/>
        </w:trPr>
        <w:tc>
          <w:tcPr>
            <w:tcW w:w="3989" w:type="dxa"/>
            <w:tcBorders>
              <w:top w:val="nil"/>
              <w:left w:val="nil"/>
              <w:bottom w:val="nil"/>
              <w:right w:val="nil"/>
            </w:tcBorders>
            <w:shd w:val="clear" w:color="auto" w:fill="auto"/>
            <w:vAlign w:val="bottom"/>
            <w:hideMark/>
          </w:tcPr>
          <w:p w14:paraId="3B1662B5" w14:textId="77777777" w:rsidR="00B85F86" w:rsidRPr="00B85F86" w:rsidRDefault="00B85F86" w:rsidP="00B85F86">
            <w:pPr>
              <w:autoSpaceDE/>
              <w:autoSpaceDN/>
              <w:adjustRightInd/>
              <w:spacing w:after="0"/>
              <w:jc w:val="center"/>
              <w:rPr>
                <w:rFonts w:eastAsia="Times New Roman" w:cs="Arial"/>
                <w:b/>
                <w:bCs/>
                <w:sz w:val="16"/>
                <w:szCs w:val="16"/>
                <w:lang w:eastAsia="en-GB"/>
              </w:rPr>
            </w:pPr>
          </w:p>
        </w:tc>
        <w:tc>
          <w:tcPr>
            <w:tcW w:w="1805" w:type="dxa"/>
            <w:tcBorders>
              <w:top w:val="nil"/>
              <w:left w:val="nil"/>
              <w:bottom w:val="nil"/>
              <w:right w:val="nil"/>
            </w:tcBorders>
            <w:shd w:val="clear" w:color="auto" w:fill="auto"/>
            <w:noWrap/>
            <w:vAlign w:val="center"/>
            <w:hideMark/>
          </w:tcPr>
          <w:p w14:paraId="64D59F48" w14:textId="77777777" w:rsidR="00B85F86" w:rsidRPr="00B85F86" w:rsidRDefault="00B85F86" w:rsidP="00B85F86">
            <w:pPr>
              <w:autoSpaceDE/>
              <w:autoSpaceDN/>
              <w:adjustRightInd/>
              <w:spacing w:after="0"/>
              <w:jc w:val="left"/>
              <w:rPr>
                <w:rFonts w:ascii="Times New Roman" w:eastAsia="Times New Roman" w:hAnsi="Times New Roman" w:cs="Times New Roman"/>
                <w:color w:val="auto"/>
                <w:sz w:val="20"/>
                <w:szCs w:val="20"/>
                <w:lang w:eastAsia="en-GB"/>
              </w:rPr>
            </w:pPr>
          </w:p>
        </w:tc>
        <w:tc>
          <w:tcPr>
            <w:tcW w:w="1368" w:type="dxa"/>
            <w:tcBorders>
              <w:top w:val="nil"/>
              <w:left w:val="nil"/>
              <w:bottom w:val="nil"/>
              <w:right w:val="nil"/>
            </w:tcBorders>
            <w:shd w:val="clear" w:color="auto" w:fill="auto"/>
            <w:noWrap/>
            <w:vAlign w:val="center"/>
            <w:hideMark/>
          </w:tcPr>
          <w:p w14:paraId="724C6BB7" w14:textId="77777777" w:rsidR="00B85F86" w:rsidRPr="00B85F86" w:rsidRDefault="00B85F86" w:rsidP="00B85F86">
            <w:pPr>
              <w:autoSpaceDE/>
              <w:autoSpaceDN/>
              <w:adjustRightInd/>
              <w:spacing w:after="0"/>
              <w:jc w:val="center"/>
              <w:rPr>
                <w:rFonts w:ascii="Times New Roman" w:eastAsia="Times New Roman" w:hAnsi="Times New Roman" w:cs="Times New Roman"/>
                <w:color w:val="auto"/>
                <w:sz w:val="20"/>
                <w:szCs w:val="20"/>
                <w:lang w:eastAsia="en-GB"/>
              </w:rPr>
            </w:pPr>
          </w:p>
        </w:tc>
        <w:tc>
          <w:tcPr>
            <w:tcW w:w="1455" w:type="dxa"/>
            <w:tcBorders>
              <w:top w:val="nil"/>
              <w:left w:val="nil"/>
              <w:bottom w:val="nil"/>
              <w:right w:val="nil"/>
            </w:tcBorders>
            <w:shd w:val="clear" w:color="auto" w:fill="auto"/>
            <w:noWrap/>
            <w:vAlign w:val="center"/>
            <w:hideMark/>
          </w:tcPr>
          <w:p w14:paraId="78CD2E28" w14:textId="77777777" w:rsidR="00B85F86" w:rsidRPr="00B85F86" w:rsidRDefault="00B85F86" w:rsidP="00B85F86">
            <w:pPr>
              <w:autoSpaceDE/>
              <w:autoSpaceDN/>
              <w:adjustRightInd/>
              <w:spacing w:after="0"/>
              <w:jc w:val="center"/>
              <w:rPr>
                <w:rFonts w:ascii="Times New Roman" w:eastAsia="Times New Roman" w:hAnsi="Times New Roman" w:cs="Times New Roman"/>
                <w:color w:val="auto"/>
                <w:sz w:val="20"/>
                <w:szCs w:val="20"/>
                <w:lang w:eastAsia="en-GB"/>
              </w:rPr>
            </w:pPr>
          </w:p>
        </w:tc>
        <w:tc>
          <w:tcPr>
            <w:tcW w:w="1368" w:type="dxa"/>
            <w:tcBorders>
              <w:top w:val="nil"/>
              <w:left w:val="nil"/>
              <w:bottom w:val="nil"/>
              <w:right w:val="nil"/>
            </w:tcBorders>
            <w:shd w:val="clear" w:color="auto" w:fill="auto"/>
            <w:noWrap/>
            <w:vAlign w:val="center"/>
            <w:hideMark/>
          </w:tcPr>
          <w:p w14:paraId="7270BD46" w14:textId="77777777" w:rsidR="00B85F86" w:rsidRPr="00B85F86" w:rsidRDefault="00B85F86" w:rsidP="00B85F86">
            <w:pPr>
              <w:autoSpaceDE/>
              <w:autoSpaceDN/>
              <w:adjustRightInd/>
              <w:spacing w:after="0"/>
              <w:jc w:val="center"/>
              <w:rPr>
                <w:rFonts w:ascii="Times New Roman" w:eastAsia="Times New Roman" w:hAnsi="Times New Roman" w:cs="Times New Roman"/>
                <w:color w:val="auto"/>
                <w:sz w:val="20"/>
                <w:szCs w:val="20"/>
                <w:lang w:eastAsia="en-GB"/>
              </w:rPr>
            </w:pPr>
          </w:p>
        </w:tc>
        <w:tc>
          <w:tcPr>
            <w:tcW w:w="1368" w:type="dxa"/>
            <w:tcBorders>
              <w:top w:val="nil"/>
              <w:left w:val="nil"/>
              <w:bottom w:val="nil"/>
              <w:right w:val="nil"/>
            </w:tcBorders>
            <w:shd w:val="clear" w:color="auto" w:fill="auto"/>
            <w:noWrap/>
            <w:vAlign w:val="center"/>
            <w:hideMark/>
          </w:tcPr>
          <w:p w14:paraId="6A1A134C" w14:textId="77777777" w:rsidR="00B85F86" w:rsidRPr="00B85F86" w:rsidRDefault="00B85F86" w:rsidP="00B85F86">
            <w:pPr>
              <w:autoSpaceDE/>
              <w:autoSpaceDN/>
              <w:adjustRightInd/>
              <w:spacing w:after="0"/>
              <w:jc w:val="center"/>
              <w:rPr>
                <w:rFonts w:ascii="Times New Roman" w:eastAsia="Times New Roman" w:hAnsi="Times New Roman" w:cs="Times New Roman"/>
                <w:color w:val="auto"/>
                <w:sz w:val="20"/>
                <w:szCs w:val="20"/>
                <w:lang w:eastAsia="en-GB"/>
              </w:rPr>
            </w:pPr>
          </w:p>
        </w:tc>
        <w:tc>
          <w:tcPr>
            <w:tcW w:w="1368" w:type="dxa"/>
            <w:tcBorders>
              <w:top w:val="nil"/>
              <w:left w:val="nil"/>
              <w:bottom w:val="nil"/>
              <w:right w:val="nil"/>
            </w:tcBorders>
            <w:shd w:val="clear" w:color="auto" w:fill="auto"/>
            <w:noWrap/>
            <w:vAlign w:val="center"/>
            <w:hideMark/>
          </w:tcPr>
          <w:p w14:paraId="056347F8" w14:textId="77777777" w:rsidR="00B85F86" w:rsidRPr="00B85F86" w:rsidRDefault="00B85F86" w:rsidP="00B85F86">
            <w:pPr>
              <w:autoSpaceDE/>
              <w:autoSpaceDN/>
              <w:adjustRightInd/>
              <w:spacing w:after="0"/>
              <w:jc w:val="center"/>
              <w:rPr>
                <w:rFonts w:ascii="Times New Roman" w:eastAsia="Times New Roman" w:hAnsi="Times New Roman" w:cs="Times New Roman"/>
                <w:color w:val="auto"/>
                <w:sz w:val="20"/>
                <w:szCs w:val="20"/>
                <w:lang w:eastAsia="en-GB"/>
              </w:rPr>
            </w:pPr>
          </w:p>
        </w:tc>
        <w:tc>
          <w:tcPr>
            <w:tcW w:w="1368" w:type="dxa"/>
            <w:tcBorders>
              <w:top w:val="nil"/>
              <w:left w:val="nil"/>
              <w:bottom w:val="nil"/>
              <w:right w:val="nil"/>
            </w:tcBorders>
            <w:shd w:val="clear" w:color="auto" w:fill="auto"/>
            <w:noWrap/>
            <w:vAlign w:val="center"/>
            <w:hideMark/>
          </w:tcPr>
          <w:p w14:paraId="4CCCA426" w14:textId="77777777" w:rsidR="00B85F86" w:rsidRPr="00B85F86" w:rsidRDefault="00B85F86" w:rsidP="00B85F86">
            <w:pPr>
              <w:autoSpaceDE/>
              <w:autoSpaceDN/>
              <w:adjustRightInd/>
              <w:spacing w:after="0"/>
              <w:jc w:val="center"/>
              <w:rPr>
                <w:rFonts w:ascii="Times New Roman" w:eastAsia="Times New Roman" w:hAnsi="Times New Roman" w:cs="Times New Roman"/>
                <w:color w:val="auto"/>
                <w:sz w:val="20"/>
                <w:szCs w:val="20"/>
                <w:lang w:eastAsia="en-GB"/>
              </w:rPr>
            </w:pPr>
          </w:p>
        </w:tc>
        <w:tc>
          <w:tcPr>
            <w:tcW w:w="1426" w:type="dxa"/>
            <w:tcBorders>
              <w:top w:val="nil"/>
              <w:left w:val="nil"/>
              <w:bottom w:val="nil"/>
              <w:right w:val="nil"/>
            </w:tcBorders>
            <w:shd w:val="clear" w:color="auto" w:fill="auto"/>
            <w:noWrap/>
            <w:vAlign w:val="center"/>
            <w:hideMark/>
          </w:tcPr>
          <w:p w14:paraId="61C22257" w14:textId="77777777" w:rsidR="00B85F86" w:rsidRPr="00B85F86" w:rsidRDefault="00B85F86" w:rsidP="00B85F86">
            <w:pPr>
              <w:autoSpaceDE/>
              <w:autoSpaceDN/>
              <w:adjustRightInd/>
              <w:spacing w:after="0"/>
              <w:jc w:val="center"/>
              <w:rPr>
                <w:rFonts w:ascii="Times New Roman" w:eastAsia="Times New Roman" w:hAnsi="Times New Roman" w:cs="Times New Roman"/>
                <w:color w:val="auto"/>
                <w:sz w:val="20"/>
                <w:szCs w:val="20"/>
                <w:lang w:eastAsia="en-GB"/>
              </w:rPr>
            </w:pPr>
          </w:p>
        </w:tc>
      </w:tr>
      <w:tr w:rsidR="00B85F86" w:rsidRPr="00B85F86" w14:paraId="5A695928" w14:textId="77777777" w:rsidTr="00B85F86">
        <w:trPr>
          <w:trHeight w:val="341"/>
        </w:trPr>
        <w:tc>
          <w:tcPr>
            <w:tcW w:w="3989"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3F9E1A7D" w14:textId="77777777" w:rsidR="00B85F86" w:rsidRPr="00B85F86" w:rsidRDefault="00B85F86" w:rsidP="00B85F86">
            <w:pPr>
              <w:autoSpaceDE/>
              <w:autoSpaceDN/>
              <w:adjustRightInd/>
              <w:spacing w:after="0"/>
              <w:jc w:val="left"/>
              <w:rPr>
                <w:rFonts w:eastAsia="Times New Roman" w:cs="Arial"/>
                <w:b/>
                <w:bCs/>
                <w:sz w:val="16"/>
                <w:szCs w:val="16"/>
                <w:u w:val="single"/>
                <w:lang w:eastAsia="en-GB"/>
              </w:rPr>
            </w:pPr>
            <w:r w:rsidRPr="00B85F86">
              <w:rPr>
                <w:rFonts w:eastAsia="Times New Roman" w:cs="Arial"/>
                <w:b/>
                <w:bCs/>
                <w:sz w:val="16"/>
                <w:szCs w:val="16"/>
                <w:u w:val="single"/>
                <w:lang w:eastAsia="en-GB"/>
              </w:rPr>
              <w:t>Risk Management Reserve</w:t>
            </w:r>
          </w:p>
        </w:tc>
        <w:tc>
          <w:tcPr>
            <w:tcW w:w="1805" w:type="dxa"/>
            <w:tcBorders>
              <w:top w:val="single" w:sz="8" w:space="0" w:color="auto"/>
              <w:left w:val="nil"/>
              <w:bottom w:val="single" w:sz="4" w:space="0" w:color="auto"/>
              <w:right w:val="single" w:sz="4" w:space="0" w:color="auto"/>
            </w:tcBorders>
            <w:shd w:val="clear" w:color="000000" w:fill="BFBFBF"/>
            <w:noWrap/>
            <w:vAlign w:val="center"/>
            <w:hideMark/>
          </w:tcPr>
          <w:p w14:paraId="2F6B0933"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£m</w:t>
            </w:r>
          </w:p>
        </w:tc>
        <w:tc>
          <w:tcPr>
            <w:tcW w:w="1368" w:type="dxa"/>
            <w:tcBorders>
              <w:top w:val="single" w:sz="8" w:space="0" w:color="auto"/>
              <w:left w:val="nil"/>
              <w:bottom w:val="single" w:sz="4" w:space="0" w:color="auto"/>
              <w:right w:val="single" w:sz="4" w:space="0" w:color="auto"/>
            </w:tcBorders>
            <w:shd w:val="clear" w:color="000000" w:fill="BFBFBF"/>
            <w:noWrap/>
            <w:vAlign w:val="center"/>
            <w:hideMark/>
          </w:tcPr>
          <w:p w14:paraId="384CB08F"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£m</w:t>
            </w:r>
          </w:p>
        </w:tc>
        <w:tc>
          <w:tcPr>
            <w:tcW w:w="1455" w:type="dxa"/>
            <w:tcBorders>
              <w:top w:val="single" w:sz="8" w:space="0" w:color="auto"/>
              <w:left w:val="nil"/>
              <w:bottom w:val="single" w:sz="4" w:space="0" w:color="auto"/>
              <w:right w:val="single" w:sz="4" w:space="0" w:color="auto"/>
            </w:tcBorders>
            <w:shd w:val="clear" w:color="000000" w:fill="BFBFBF"/>
            <w:noWrap/>
            <w:vAlign w:val="center"/>
            <w:hideMark/>
          </w:tcPr>
          <w:p w14:paraId="711E3F47"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£m</w:t>
            </w:r>
          </w:p>
        </w:tc>
        <w:tc>
          <w:tcPr>
            <w:tcW w:w="1368" w:type="dxa"/>
            <w:tcBorders>
              <w:top w:val="single" w:sz="8" w:space="0" w:color="auto"/>
              <w:left w:val="nil"/>
              <w:bottom w:val="single" w:sz="4" w:space="0" w:color="auto"/>
              <w:right w:val="single" w:sz="4" w:space="0" w:color="auto"/>
            </w:tcBorders>
            <w:shd w:val="clear" w:color="000000" w:fill="BFBFBF"/>
            <w:noWrap/>
            <w:vAlign w:val="center"/>
            <w:hideMark/>
          </w:tcPr>
          <w:p w14:paraId="306E8520"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£m</w:t>
            </w:r>
          </w:p>
        </w:tc>
        <w:tc>
          <w:tcPr>
            <w:tcW w:w="1368" w:type="dxa"/>
            <w:tcBorders>
              <w:top w:val="single" w:sz="8" w:space="0" w:color="auto"/>
              <w:left w:val="nil"/>
              <w:bottom w:val="single" w:sz="4" w:space="0" w:color="auto"/>
              <w:right w:val="single" w:sz="4" w:space="0" w:color="auto"/>
            </w:tcBorders>
            <w:shd w:val="clear" w:color="000000" w:fill="BFBFBF"/>
            <w:noWrap/>
            <w:vAlign w:val="center"/>
            <w:hideMark/>
          </w:tcPr>
          <w:p w14:paraId="1AF5D9B2"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£m</w:t>
            </w:r>
          </w:p>
        </w:tc>
        <w:tc>
          <w:tcPr>
            <w:tcW w:w="1368" w:type="dxa"/>
            <w:tcBorders>
              <w:top w:val="single" w:sz="8" w:space="0" w:color="auto"/>
              <w:left w:val="nil"/>
              <w:bottom w:val="single" w:sz="4" w:space="0" w:color="auto"/>
              <w:right w:val="single" w:sz="4" w:space="0" w:color="auto"/>
            </w:tcBorders>
            <w:shd w:val="clear" w:color="000000" w:fill="BFBFBF"/>
            <w:noWrap/>
            <w:vAlign w:val="center"/>
            <w:hideMark/>
          </w:tcPr>
          <w:p w14:paraId="64AD3690"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£m</w:t>
            </w:r>
          </w:p>
        </w:tc>
        <w:tc>
          <w:tcPr>
            <w:tcW w:w="1368" w:type="dxa"/>
            <w:tcBorders>
              <w:top w:val="single" w:sz="8" w:space="0" w:color="auto"/>
              <w:left w:val="nil"/>
              <w:bottom w:val="single" w:sz="4" w:space="0" w:color="auto"/>
              <w:right w:val="single" w:sz="4" w:space="0" w:color="auto"/>
            </w:tcBorders>
            <w:shd w:val="clear" w:color="000000" w:fill="BFBFBF"/>
            <w:noWrap/>
            <w:vAlign w:val="center"/>
            <w:hideMark/>
          </w:tcPr>
          <w:p w14:paraId="6413154A"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£m</w:t>
            </w:r>
          </w:p>
        </w:tc>
        <w:tc>
          <w:tcPr>
            <w:tcW w:w="1426" w:type="dxa"/>
            <w:tcBorders>
              <w:top w:val="single" w:sz="8" w:space="0" w:color="auto"/>
              <w:left w:val="nil"/>
              <w:bottom w:val="single" w:sz="4" w:space="0" w:color="auto"/>
              <w:right w:val="single" w:sz="8" w:space="0" w:color="auto"/>
            </w:tcBorders>
            <w:shd w:val="clear" w:color="000000" w:fill="BFBFBF"/>
            <w:noWrap/>
            <w:vAlign w:val="center"/>
            <w:hideMark/>
          </w:tcPr>
          <w:p w14:paraId="4B24B610"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£m</w:t>
            </w:r>
          </w:p>
        </w:tc>
      </w:tr>
      <w:tr w:rsidR="00B85F86" w:rsidRPr="00B85F86" w14:paraId="2BADDF7C" w14:textId="77777777" w:rsidTr="00B85F86">
        <w:trPr>
          <w:trHeight w:val="341"/>
        </w:trPr>
        <w:tc>
          <w:tcPr>
            <w:tcW w:w="3989" w:type="dxa"/>
            <w:tcBorders>
              <w:top w:val="nil"/>
              <w:left w:val="single" w:sz="8" w:space="0" w:color="auto"/>
              <w:bottom w:val="single" w:sz="4" w:space="0" w:color="auto"/>
              <w:right w:val="single" w:sz="4" w:space="0" w:color="auto"/>
            </w:tcBorders>
            <w:shd w:val="clear" w:color="auto" w:fill="auto"/>
            <w:vAlign w:val="center"/>
            <w:hideMark/>
          </w:tcPr>
          <w:p w14:paraId="168E291A" w14:textId="77777777" w:rsidR="00B85F86" w:rsidRPr="00B85F86" w:rsidRDefault="00B85F86" w:rsidP="00B85F86">
            <w:pPr>
              <w:autoSpaceDE/>
              <w:autoSpaceDN/>
              <w:adjustRightInd/>
              <w:spacing w:after="0"/>
              <w:jc w:val="left"/>
              <w:rPr>
                <w:rFonts w:eastAsia="Times New Roman" w:cs="Arial"/>
                <w:sz w:val="16"/>
                <w:szCs w:val="16"/>
                <w:lang w:eastAsia="en-GB"/>
              </w:rPr>
            </w:pPr>
            <w:r w:rsidRPr="00B85F86">
              <w:rPr>
                <w:rFonts w:eastAsia="Times New Roman" w:cs="Arial"/>
                <w:sz w:val="16"/>
                <w:szCs w:val="16"/>
                <w:lang w:eastAsia="en-GB"/>
              </w:rPr>
              <w:t xml:space="preserve">Occupational Health </w:t>
            </w:r>
          </w:p>
        </w:tc>
        <w:tc>
          <w:tcPr>
            <w:tcW w:w="1805" w:type="dxa"/>
            <w:tcBorders>
              <w:top w:val="nil"/>
              <w:left w:val="nil"/>
              <w:bottom w:val="single" w:sz="4" w:space="0" w:color="auto"/>
              <w:right w:val="single" w:sz="4" w:space="0" w:color="auto"/>
            </w:tcBorders>
            <w:shd w:val="clear" w:color="auto" w:fill="auto"/>
            <w:noWrap/>
            <w:vAlign w:val="center"/>
            <w:hideMark/>
          </w:tcPr>
          <w:p w14:paraId="66CB8E8E"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0.003</w:t>
            </w:r>
          </w:p>
        </w:tc>
        <w:tc>
          <w:tcPr>
            <w:tcW w:w="1368" w:type="dxa"/>
            <w:tcBorders>
              <w:top w:val="nil"/>
              <w:left w:val="nil"/>
              <w:bottom w:val="single" w:sz="4" w:space="0" w:color="auto"/>
              <w:right w:val="single" w:sz="4" w:space="0" w:color="auto"/>
            </w:tcBorders>
            <w:shd w:val="clear" w:color="auto" w:fill="auto"/>
            <w:noWrap/>
            <w:vAlign w:val="center"/>
            <w:hideMark/>
          </w:tcPr>
          <w:p w14:paraId="2A28BBB3"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455" w:type="dxa"/>
            <w:tcBorders>
              <w:top w:val="nil"/>
              <w:left w:val="nil"/>
              <w:bottom w:val="single" w:sz="4" w:space="0" w:color="auto"/>
              <w:right w:val="single" w:sz="4" w:space="0" w:color="auto"/>
            </w:tcBorders>
            <w:shd w:val="clear" w:color="auto" w:fill="auto"/>
            <w:noWrap/>
            <w:vAlign w:val="center"/>
            <w:hideMark/>
          </w:tcPr>
          <w:p w14:paraId="77B57AE5"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-0.003</w:t>
            </w:r>
          </w:p>
        </w:tc>
        <w:tc>
          <w:tcPr>
            <w:tcW w:w="1368" w:type="dxa"/>
            <w:tcBorders>
              <w:top w:val="nil"/>
              <w:left w:val="nil"/>
              <w:bottom w:val="single" w:sz="4" w:space="0" w:color="auto"/>
              <w:right w:val="single" w:sz="4" w:space="0" w:color="auto"/>
            </w:tcBorders>
            <w:shd w:val="clear" w:color="000000" w:fill="BFBFBF"/>
            <w:noWrap/>
            <w:vAlign w:val="center"/>
            <w:hideMark/>
          </w:tcPr>
          <w:p w14:paraId="08389E3A"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7F1AD46F"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43549D76"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20298A84"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426" w:type="dxa"/>
            <w:tcBorders>
              <w:top w:val="nil"/>
              <w:left w:val="nil"/>
              <w:bottom w:val="single" w:sz="4" w:space="0" w:color="auto"/>
              <w:right w:val="single" w:sz="8" w:space="0" w:color="auto"/>
            </w:tcBorders>
            <w:shd w:val="clear" w:color="000000" w:fill="BFBFBF"/>
            <w:noWrap/>
            <w:vAlign w:val="center"/>
            <w:hideMark/>
          </w:tcPr>
          <w:p w14:paraId="74B3AAD7"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r>
      <w:tr w:rsidR="00B85F86" w:rsidRPr="00B85F86" w14:paraId="54A03638" w14:textId="77777777" w:rsidTr="00B85F86">
        <w:trPr>
          <w:trHeight w:val="341"/>
        </w:trPr>
        <w:tc>
          <w:tcPr>
            <w:tcW w:w="3989" w:type="dxa"/>
            <w:tcBorders>
              <w:top w:val="nil"/>
              <w:left w:val="single" w:sz="8" w:space="0" w:color="auto"/>
              <w:bottom w:val="single" w:sz="4" w:space="0" w:color="auto"/>
              <w:right w:val="single" w:sz="4" w:space="0" w:color="auto"/>
            </w:tcBorders>
            <w:shd w:val="clear" w:color="auto" w:fill="auto"/>
            <w:vAlign w:val="center"/>
            <w:hideMark/>
          </w:tcPr>
          <w:p w14:paraId="486368BF" w14:textId="77777777" w:rsidR="00B85F86" w:rsidRPr="00B85F86" w:rsidRDefault="00B85F86" w:rsidP="00B85F86">
            <w:pPr>
              <w:autoSpaceDE/>
              <w:autoSpaceDN/>
              <w:adjustRightInd/>
              <w:spacing w:after="0"/>
              <w:jc w:val="left"/>
              <w:rPr>
                <w:rFonts w:eastAsia="Times New Roman" w:cs="Arial"/>
                <w:sz w:val="16"/>
                <w:szCs w:val="16"/>
                <w:lang w:eastAsia="en-GB"/>
              </w:rPr>
            </w:pPr>
            <w:r w:rsidRPr="00B85F86">
              <w:rPr>
                <w:rFonts w:eastAsia="Times New Roman" w:cs="Arial"/>
                <w:sz w:val="16"/>
                <w:szCs w:val="16"/>
                <w:lang w:eastAsia="en-GB"/>
              </w:rPr>
              <w:t xml:space="preserve">Adults LD Remodelling Reserve </w:t>
            </w:r>
          </w:p>
        </w:tc>
        <w:tc>
          <w:tcPr>
            <w:tcW w:w="1805" w:type="dxa"/>
            <w:tcBorders>
              <w:top w:val="nil"/>
              <w:left w:val="nil"/>
              <w:bottom w:val="single" w:sz="4" w:space="0" w:color="auto"/>
              <w:right w:val="single" w:sz="4" w:space="0" w:color="auto"/>
            </w:tcBorders>
            <w:shd w:val="clear" w:color="auto" w:fill="auto"/>
            <w:noWrap/>
            <w:vAlign w:val="center"/>
            <w:hideMark/>
          </w:tcPr>
          <w:p w14:paraId="28B632EB"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-0.784</w:t>
            </w:r>
          </w:p>
        </w:tc>
        <w:tc>
          <w:tcPr>
            <w:tcW w:w="1368" w:type="dxa"/>
            <w:tcBorders>
              <w:top w:val="nil"/>
              <w:left w:val="nil"/>
              <w:bottom w:val="single" w:sz="4" w:space="0" w:color="auto"/>
              <w:right w:val="single" w:sz="4" w:space="0" w:color="auto"/>
            </w:tcBorders>
            <w:shd w:val="clear" w:color="auto" w:fill="auto"/>
            <w:noWrap/>
            <w:vAlign w:val="center"/>
            <w:hideMark/>
          </w:tcPr>
          <w:p w14:paraId="70CC1871"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455" w:type="dxa"/>
            <w:tcBorders>
              <w:top w:val="nil"/>
              <w:left w:val="nil"/>
              <w:bottom w:val="single" w:sz="4" w:space="0" w:color="auto"/>
              <w:right w:val="single" w:sz="4" w:space="0" w:color="auto"/>
            </w:tcBorders>
            <w:shd w:val="clear" w:color="auto" w:fill="auto"/>
            <w:noWrap/>
            <w:vAlign w:val="center"/>
            <w:hideMark/>
          </w:tcPr>
          <w:p w14:paraId="60D2944B"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000000" w:fill="BFBFBF"/>
            <w:noWrap/>
            <w:vAlign w:val="center"/>
            <w:hideMark/>
          </w:tcPr>
          <w:p w14:paraId="098FFB28"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-0.784</w:t>
            </w:r>
          </w:p>
        </w:tc>
        <w:tc>
          <w:tcPr>
            <w:tcW w:w="1368" w:type="dxa"/>
            <w:tcBorders>
              <w:top w:val="nil"/>
              <w:left w:val="nil"/>
              <w:bottom w:val="single" w:sz="4" w:space="0" w:color="auto"/>
              <w:right w:val="single" w:sz="4" w:space="0" w:color="auto"/>
            </w:tcBorders>
            <w:shd w:val="clear" w:color="auto" w:fill="auto"/>
            <w:noWrap/>
            <w:vAlign w:val="center"/>
            <w:hideMark/>
          </w:tcPr>
          <w:p w14:paraId="73A2F54F"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0.784</w:t>
            </w:r>
          </w:p>
        </w:tc>
        <w:tc>
          <w:tcPr>
            <w:tcW w:w="1368" w:type="dxa"/>
            <w:tcBorders>
              <w:top w:val="nil"/>
              <w:left w:val="nil"/>
              <w:bottom w:val="single" w:sz="4" w:space="0" w:color="auto"/>
              <w:right w:val="single" w:sz="4" w:space="0" w:color="auto"/>
            </w:tcBorders>
            <w:shd w:val="clear" w:color="auto" w:fill="auto"/>
            <w:noWrap/>
            <w:vAlign w:val="center"/>
            <w:hideMark/>
          </w:tcPr>
          <w:p w14:paraId="4DA9D85A"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07DDC9E4"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426" w:type="dxa"/>
            <w:tcBorders>
              <w:top w:val="nil"/>
              <w:left w:val="nil"/>
              <w:bottom w:val="single" w:sz="4" w:space="0" w:color="auto"/>
              <w:right w:val="single" w:sz="8" w:space="0" w:color="auto"/>
            </w:tcBorders>
            <w:shd w:val="clear" w:color="000000" w:fill="BFBFBF"/>
            <w:noWrap/>
            <w:vAlign w:val="center"/>
            <w:hideMark/>
          </w:tcPr>
          <w:p w14:paraId="6296F775"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r>
      <w:tr w:rsidR="00B85F86" w:rsidRPr="00B85F86" w14:paraId="3C4D9A2C" w14:textId="77777777" w:rsidTr="00B85F86">
        <w:trPr>
          <w:trHeight w:val="436"/>
        </w:trPr>
        <w:tc>
          <w:tcPr>
            <w:tcW w:w="3989" w:type="dxa"/>
            <w:tcBorders>
              <w:top w:val="nil"/>
              <w:left w:val="single" w:sz="8" w:space="0" w:color="auto"/>
              <w:bottom w:val="single" w:sz="4" w:space="0" w:color="auto"/>
              <w:right w:val="single" w:sz="4" w:space="0" w:color="auto"/>
            </w:tcBorders>
            <w:shd w:val="clear" w:color="auto" w:fill="auto"/>
            <w:vAlign w:val="center"/>
            <w:hideMark/>
          </w:tcPr>
          <w:p w14:paraId="214CDFB5" w14:textId="77777777" w:rsidR="00B85F86" w:rsidRPr="00B85F86" w:rsidRDefault="00B85F86" w:rsidP="00B85F86">
            <w:pPr>
              <w:autoSpaceDE/>
              <w:autoSpaceDN/>
              <w:adjustRightInd/>
              <w:spacing w:after="0"/>
              <w:jc w:val="left"/>
              <w:rPr>
                <w:rFonts w:eastAsia="Times New Roman" w:cs="Arial"/>
                <w:sz w:val="16"/>
                <w:szCs w:val="16"/>
                <w:lang w:eastAsia="en-GB"/>
              </w:rPr>
            </w:pPr>
            <w:r w:rsidRPr="00B85F86">
              <w:rPr>
                <w:rFonts w:eastAsia="Times New Roman" w:cs="Arial"/>
                <w:sz w:val="16"/>
                <w:szCs w:val="16"/>
                <w:lang w:eastAsia="en-GB"/>
              </w:rPr>
              <w:t xml:space="preserve">Provision  to mitigate against risk </w:t>
            </w:r>
            <w:proofErr w:type="spellStart"/>
            <w:r w:rsidRPr="00B85F86">
              <w:rPr>
                <w:rFonts w:eastAsia="Times New Roman" w:cs="Arial"/>
                <w:sz w:val="16"/>
                <w:szCs w:val="16"/>
                <w:lang w:eastAsia="en-GB"/>
              </w:rPr>
              <w:t>DoLS</w:t>
            </w:r>
            <w:proofErr w:type="spellEnd"/>
            <w:r w:rsidRPr="00B85F86">
              <w:rPr>
                <w:rFonts w:eastAsia="Times New Roman" w:cs="Arial"/>
                <w:sz w:val="16"/>
                <w:szCs w:val="16"/>
                <w:lang w:eastAsia="en-GB"/>
              </w:rPr>
              <w:t>- Deprivation of Liberty Safeguards</w:t>
            </w:r>
          </w:p>
        </w:tc>
        <w:tc>
          <w:tcPr>
            <w:tcW w:w="1805" w:type="dxa"/>
            <w:tcBorders>
              <w:top w:val="nil"/>
              <w:left w:val="nil"/>
              <w:bottom w:val="single" w:sz="4" w:space="0" w:color="auto"/>
              <w:right w:val="single" w:sz="4" w:space="0" w:color="auto"/>
            </w:tcBorders>
            <w:shd w:val="clear" w:color="auto" w:fill="auto"/>
            <w:noWrap/>
            <w:vAlign w:val="center"/>
            <w:hideMark/>
          </w:tcPr>
          <w:p w14:paraId="1D2EE2AC"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-2.900</w:t>
            </w:r>
          </w:p>
        </w:tc>
        <w:tc>
          <w:tcPr>
            <w:tcW w:w="1368" w:type="dxa"/>
            <w:tcBorders>
              <w:top w:val="nil"/>
              <w:left w:val="nil"/>
              <w:bottom w:val="single" w:sz="4" w:space="0" w:color="auto"/>
              <w:right w:val="single" w:sz="4" w:space="0" w:color="auto"/>
            </w:tcBorders>
            <w:shd w:val="clear" w:color="auto" w:fill="auto"/>
            <w:noWrap/>
            <w:vAlign w:val="center"/>
            <w:hideMark/>
          </w:tcPr>
          <w:p w14:paraId="2ABA91A4"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0.424</w:t>
            </w:r>
          </w:p>
        </w:tc>
        <w:tc>
          <w:tcPr>
            <w:tcW w:w="1455" w:type="dxa"/>
            <w:tcBorders>
              <w:top w:val="nil"/>
              <w:left w:val="nil"/>
              <w:bottom w:val="single" w:sz="4" w:space="0" w:color="auto"/>
              <w:right w:val="single" w:sz="4" w:space="0" w:color="auto"/>
            </w:tcBorders>
            <w:shd w:val="clear" w:color="auto" w:fill="auto"/>
            <w:noWrap/>
            <w:vAlign w:val="center"/>
            <w:hideMark/>
          </w:tcPr>
          <w:p w14:paraId="5271FA0C"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000000" w:fill="BFBFBF"/>
            <w:noWrap/>
            <w:vAlign w:val="center"/>
            <w:hideMark/>
          </w:tcPr>
          <w:p w14:paraId="79928469"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-2.476</w:t>
            </w:r>
          </w:p>
        </w:tc>
        <w:tc>
          <w:tcPr>
            <w:tcW w:w="1368" w:type="dxa"/>
            <w:tcBorders>
              <w:top w:val="nil"/>
              <w:left w:val="nil"/>
              <w:bottom w:val="single" w:sz="4" w:space="0" w:color="auto"/>
              <w:right w:val="single" w:sz="4" w:space="0" w:color="auto"/>
            </w:tcBorders>
            <w:shd w:val="clear" w:color="auto" w:fill="auto"/>
            <w:noWrap/>
            <w:vAlign w:val="center"/>
            <w:hideMark/>
          </w:tcPr>
          <w:p w14:paraId="04EE991F"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2.476</w:t>
            </w:r>
          </w:p>
        </w:tc>
        <w:tc>
          <w:tcPr>
            <w:tcW w:w="1368" w:type="dxa"/>
            <w:tcBorders>
              <w:top w:val="nil"/>
              <w:left w:val="nil"/>
              <w:bottom w:val="single" w:sz="4" w:space="0" w:color="auto"/>
              <w:right w:val="single" w:sz="4" w:space="0" w:color="auto"/>
            </w:tcBorders>
            <w:shd w:val="clear" w:color="auto" w:fill="auto"/>
            <w:noWrap/>
            <w:vAlign w:val="center"/>
            <w:hideMark/>
          </w:tcPr>
          <w:p w14:paraId="5075002B"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33945D85"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426" w:type="dxa"/>
            <w:tcBorders>
              <w:top w:val="nil"/>
              <w:left w:val="nil"/>
              <w:bottom w:val="single" w:sz="4" w:space="0" w:color="auto"/>
              <w:right w:val="single" w:sz="8" w:space="0" w:color="auto"/>
            </w:tcBorders>
            <w:shd w:val="clear" w:color="000000" w:fill="BFBFBF"/>
            <w:noWrap/>
            <w:vAlign w:val="center"/>
            <w:hideMark/>
          </w:tcPr>
          <w:p w14:paraId="5DD4805F"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r>
      <w:tr w:rsidR="00B85F86" w:rsidRPr="00B85F86" w14:paraId="27EB0EC5" w14:textId="77777777" w:rsidTr="00B85F86">
        <w:trPr>
          <w:trHeight w:val="492"/>
        </w:trPr>
        <w:tc>
          <w:tcPr>
            <w:tcW w:w="3989" w:type="dxa"/>
            <w:tcBorders>
              <w:top w:val="nil"/>
              <w:left w:val="single" w:sz="8" w:space="0" w:color="auto"/>
              <w:bottom w:val="single" w:sz="4" w:space="0" w:color="auto"/>
              <w:right w:val="single" w:sz="4" w:space="0" w:color="auto"/>
            </w:tcBorders>
            <w:shd w:val="clear" w:color="auto" w:fill="auto"/>
            <w:vAlign w:val="center"/>
            <w:hideMark/>
          </w:tcPr>
          <w:p w14:paraId="082065C6" w14:textId="77777777" w:rsidR="00B85F86" w:rsidRPr="00B85F86" w:rsidRDefault="00B85F86" w:rsidP="00B85F86">
            <w:pPr>
              <w:autoSpaceDE/>
              <w:autoSpaceDN/>
              <w:adjustRightInd/>
              <w:spacing w:after="0"/>
              <w:jc w:val="left"/>
              <w:rPr>
                <w:rFonts w:eastAsia="Times New Roman" w:cs="Arial"/>
                <w:sz w:val="16"/>
                <w:szCs w:val="16"/>
                <w:lang w:eastAsia="en-GB"/>
              </w:rPr>
            </w:pPr>
            <w:r w:rsidRPr="00B85F86">
              <w:rPr>
                <w:rFonts w:eastAsia="Times New Roman" w:cs="Arial"/>
                <w:sz w:val="16"/>
                <w:szCs w:val="16"/>
                <w:lang w:eastAsia="en-GB"/>
              </w:rPr>
              <w:t>Impact of Fairness Commission Report</w:t>
            </w:r>
            <w:r w:rsidRPr="00B85F86">
              <w:rPr>
                <w:rFonts w:eastAsia="Times New Roman" w:cs="Arial"/>
                <w:sz w:val="16"/>
                <w:szCs w:val="16"/>
                <w:lang w:eastAsia="en-GB"/>
              </w:rPr>
              <w:br/>
              <w:t>Council Welfare Provision and the Care and Urgent Needs</w:t>
            </w:r>
          </w:p>
        </w:tc>
        <w:tc>
          <w:tcPr>
            <w:tcW w:w="1805" w:type="dxa"/>
            <w:tcBorders>
              <w:top w:val="nil"/>
              <w:left w:val="nil"/>
              <w:bottom w:val="single" w:sz="4" w:space="0" w:color="auto"/>
              <w:right w:val="single" w:sz="4" w:space="0" w:color="auto"/>
            </w:tcBorders>
            <w:shd w:val="clear" w:color="auto" w:fill="auto"/>
            <w:noWrap/>
            <w:vAlign w:val="center"/>
            <w:hideMark/>
          </w:tcPr>
          <w:p w14:paraId="5DED23F6"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-3.000</w:t>
            </w:r>
          </w:p>
        </w:tc>
        <w:tc>
          <w:tcPr>
            <w:tcW w:w="1368" w:type="dxa"/>
            <w:tcBorders>
              <w:top w:val="nil"/>
              <w:left w:val="nil"/>
              <w:bottom w:val="single" w:sz="4" w:space="0" w:color="auto"/>
              <w:right w:val="single" w:sz="4" w:space="0" w:color="auto"/>
            </w:tcBorders>
            <w:shd w:val="clear" w:color="auto" w:fill="auto"/>
            <w:noWrap/>
            <w:vAlign w:val="center"/>
            <w:hideMark/>
          </w:tcPr>
          <w:p w14:paraId="6D8975B2"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455" w:type="dxa"/>
            <w:tcBorders>
              <w:top w:val="nil"/>
              <w:left w:val="nil"/>
              <w:bottom w:val="single" w:sz="4" w:space="0" w:color="auto"/>
              <w:right w:val="single" w:sz="4" w:space="0" w:color="auto"/>
            </w:tcBorders>
            <w:shd w:val="clear" w:color="auto" w:fill="auto"/>
            <w:noWrap/>
            <w:vAlign w:val="center"/>
            <w:hideMark/>
          </w:tcPr>
          <w:p w14:paraId="4D752BFE"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000000" w:fill="BFBFBF"/>
            <w:noWrap/>
            <w:vAlign w:val="center"/>
            <w:hideMark/>
          </w:tcPr>
          <w:p w14:paraId="232592B5"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-3.000</w:t>
            </w:r>
          </w:p>
        </w:tc>
        <w:tc>
          <w:tcPr>
            <w:tcW w:w="1368" w:type="dxa"/>
            <w:tcBorders>
              <w:top w:val="nil"/>
              <w:left w:val="nil"/>
              <w:bottom w:val="single" w:sz="4" w:space="0" w:color="auto"/>
              <w:right w:val="single" w:sz="4" w:space="0" w:color="auto"/>
            </w:tcBorders>
            <w:shd w:val="clear" w:color="auto" w:fill="auto"/>
            <w:noWrap/>
            <w:vAlign w:val="center"/>
            <w:hideMark/>
          </w:tcPr>
          <w:p w14:paraId="7379DEA7"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3.000</w:t>
            </w:r>
          </w:p>
        </w:tc>
        <w:tc>
          <w:tcPr>
            <w:tcW w:w="1368" w:type="dxa"/>
            <w:tcBorders>
              <w:top w:val="nil"/>
              <w:left w:val="nil"/>
              <w:bottom w:val="single" w:sz="4" w:space="0" w:color="auto"/>
              <w:right w:val="single" w:sz="4" w:space="0" w:color="auto"/>
            </w:tcBorders>
            <w:shd w:val="clear" w:color="auto" w:fill="auto"/>
            <w:noWrap/>
            <w:vAlign w:val="center"/>
            <w:hideMark/>
          </w:tcPr>
          <w:p w14:paraId="255F8FA6"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5E16AB32"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426" w:type="dxa"/>
            <w:tcBorders>
              <w:top w:val="nil"/>
              <w:left w:val="nil"/>
              <w:bottom w:val="single" w:sz="4" w:space="0" w:color="auto"/>
              <w:right w:val="single" w:sz="8" w:space="0" w:color="auto"/>
            </w:tcBorders>
            <w:shd w:val="clear" w:color="000000" w:fill="BFBFBF"/>
            <w:noWrap/>
            <w:vAlign w:val="center"/>
            <w:hideMark/>
          </w:tcPr>
          <w:p w14:paraId="26B2797A"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r>
      <w:tr w:rsidR="00B85F86" w:rsidRPr="00B85F86" w14:paraId="0542E749" w14:textId="77777777" w:rsidTr="00B85F86">
        <w:trPr>
          <w:trHeight w:val="313"/>
        </w:trPr>
        <w:tc>
          <w:tcPr>
            <w:tcW w:w="3989" w:type="dxa"/>
            <w:tcBorders>
              <w:top w:val="nil"/>
              <w:left w:val="single" w:sz="8" w:space="0" w:color="auto"/>
              <w:bottom w:val="single" w:sz="4" w:space="0" w:color="auto"/>
              <w:right w:val="single" w:sz="4" w:space="0" w:color="auto"/>
            </w:tcBorders>
            <w:shd w:val="clear" w:color="auto" w:fill="auto"/>
            <w:vAlign w:val="center"/>
            <w:hideMark/>
          </w:tcPr>
          <w:p w14:paraId="7FA2600C" w14:textId="77777777" w:rsidR="00B85F86" w:rsidRPr="00B85F86" w:rsidRDefault="00B85F86" w:rsidP="00B85F86">
            <w:pPr>
              <w:autoSpaceDE/>
              <w:autoSpaceDN/>
              <w:adjustRightInd/>
              <w:spacing w:after="0"/>
              <w:jc w:val="left"/>
              <w:rPr>
                <w:rFonts w:eastAsia="Times New Roman" w:cs="Arial"/>
                <w:sz w:val="16"/>
                <w:szCs w:val="16"/>
                <w:lang w:eastAsia="en-GB"/>
              </w:rPr>
            </w:pPr>
            <w:r w:rsidRPr="00B85F86">
              <w:rPr>
                <w:rFonts w:eastAsia="Times New Roman" w:cs="Arial"/>
                <w:sz w:val="16"/>
                <w:szCs w:val="16"/>
                <w:lang w:eastAsia="en-GB"/>
              </w:rPr>
              <w:t>School Crossing Patrols</w:t>
            </w:r>
          </w:p>
        </w:tc>
        <w:tc>
          <w:tcPr>
            <w:tcW w:w="1805" w:type="dxa"/>
            <w:tcBorders>
              <w:top w:val="nil"/>
              <w:left w:val="nil"/>
              <w:bottom w:val="single" w:sz="4" w:space="0" w:color="auto"/>
              <w:right w:val="single" w:sz="4" w:space="0" w:color="auto"/>
            </w:tcBorders>
            <w:shd w:val="clear" w:color="auto" w:fill="auto"/>
            <w:noWrap/>
            <w:vAlign w:val="center"/>
            <w:hideMark/>
          </w:tcPr>
          <w:p w14:paraId="134BAD50"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-1.500</w:t>
            </w:r>
          </w:p>
        </w:tc>
        <w:tc>
          <w:tcPr>
            <w:tcW w:w="1368" w:type="dxa"/>
            <w:tcBorders>
              <w:top w:val="nil"/>
              <w:left w:val="nil"/>
              <w:bottom w:val="single" w:sz="4" w:space="0" w:color="auto"/>
              <w:right w:val="single" w:sz="4" w:space="0" w:color="auto"/>
            </w:tcBorders>
            <w:shd w:val="clear" w:color="auto" w:fill="auto"/>
            <w:noWrap/>
            <w:vAlign w:val="center"/>
            <w:hideMark/>
          </w:tcPr>
          <w:p w14:paraId="5944A0C4"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455" w:type="dxa"/>
            <w:tcBorders>
              <w:top w:val="nil"/>
              <w:left w:val="nil"/>
              <w:bottom w:val="single" w:sz="4" w:space="0" w:color="auto"/>
              <w:right w:val="single" w:sz="4" w:space="0" w:color="auto"/>
            </w:tcBorders>
            <w:shd w:val="clear" w:color="auto" w:fill="auto"/>
            <w:noWrap/>
            <w:vAlign w:val="center"/>
            <w:hideMark/>
          </w:tcPr>
          <w:p w14:paraId="38D85CB7"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1.500</w:t>
            </w:r>
          </w:p>
        </w:tc>
        <w:tc>
          <w:tcPr>
            <w:tcW w:w="1368" w:type="dxa"/>
            <w:tcBorders>
              <w:top w:val="nil"/>
              <w:left w:val="nil"/>
              <w:bottom w:val="single" w:sz="4" w:space="0" w:color="auto"/>
              <w:right w:val="single" w:sz="4" w:space="0" w:color="auto"/>
            </w:tcBorders>
            <w:shd w:val="clear" w:color="000000" w:fill="BFBFBF"/>
            <w:noWrap/>
            <w:vAlign w:val="center"/>
            <w:hideMark/>
          </w:tcPr>
          <w:p w14:paraId="5F69A654"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731EDA26"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01A3EAC1"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0871A6D6"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426" w:type="dxa"/>
            <w:tcBorders>
              <w:top w:val="nil"/>
              <w:left w:val="nil"/>
              <w:bottom w:val="single" w:sz="4" w:space="0" w:color="auto"/>
              <w:right w:val="single" w:sz="8" w:space="0" w:color="auto"/>
            </w:tcBorders>
            <w:shd w:val="clear" w:color="000000" w:fill="BFBFBF"/>
            <w:noWrap/>
            <w:vAlign w:val="center"/>
            <w:hideMark/>
          </w:tcPr>
          <w:p w14:paraId="0B1A267B"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r>
      <w:tr w:rsidR="00B85F86" w:rsidRPr="00B85F86" w14:paraId="01B986D0" w14:textId="77777777" w:rsidTr="00B85F86">
        <w:trPr>
          <w:trHeight w:val="341"/>
        </w:trPr>
        <w:tc>
          <w:tcPr>
            <w:tcW w:w="3989" w:type="dxa"/>
            <w:tcBorders>
              <w:top w:val="nil"/>
              <w:left w:val="single" w:sz="8" w:space="0" w:color="auto"/>
              <w:bottom w:val="single" w:sz="4" w:space="0" w:color="auto"/>
              <w:right w:val="single" w:sz="4" w:space="0" w:color="auto"/>
            </w:tcBorders>
            <w:shd w:val="clear" w:color="auto" w:fill="auto"/>
            <w:vAlign w:val="center"/>
            <w:hideMark/>
          </w:tcPr>
          <w:p w14:paraId="72AF85E4" w14:textId="77777777" w:rsidR="00B85F86" w:rsidRPr="00B85F86" w:rsidRDefault="00B85F86" w:rsidP="00B85F86">
            <w:pPr>
              <w:autoSpaceDE/>
              <w:autoSpaceDN/>
              <w:adjustRightInd/>
              <w:spacing w:after="0"/>
              <w:jc w:val="left"/>
              <w:rPr>
                <w:rFonts w:eastAsia="Times New Roman" w:cs="Arial"/>
                <w:sz w:val="16"/>
                <w:szCs w:val="16"/>
                <w:lang w:eastAsia="en-GB"/>
              </w:rPr>
            </w:pPr>
            <w:r w:rsidRPr="00B85F86">
              <w:rPr>
                <w:rFonts w:eastAsia="Times New Roman" w:cs="Arial"/>
                <w:sz w:val="16"/>
                <w:szCs w:val="16"/>
                <w:lang w:eastAsia="en-GB"/>
              </w:rPr>
              <w:t>Social Work Dedicated Review Team</w:t>
            </w:r>
          </w:p>
        </w:tc>
        <w:tc>
          <w:tcPr>
            <w:tcW w:w="1805" w:type="dxa"/>
            <w:tcBorders>
              <w:top w:val="nil"/>
              <w:left w:val="nil"/>
              <w:bottom w:val="single" w:sz="4" w:space="0" w:color="auto"/>
              <w:right w:val="single" w:sz="4" w:space="0" w:color="auto"/>
            </w:tcBorders>
            <w:shd w:val="clear" w:color="auto" w:fill="auto"/>
            <w:noWrap/>
            <w:vAlign w:val="center"/>
            <w:hideMark/>
          </w:tcPr>
          <w:p w14:paraId="52B05E05"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-2.653</w:t>
            </w:r>
          </w:p>
        </w:tc>
        <w:tc>
          <w:tcPr>
            <w:tcW w:w="1368" w:type="dxa"/>
            <w:tcBorders>
              <w:top w:val="nil"/>
              <w:left w:val="nil"/>
              <w:bottom w:val="single" w:sz="4" w:space="0" w:color="auto"/>
              <w:right w:val="single" w:sz="4" w:space="0" w:color="auto"/>
            </w:tcBorders>
            <w:shd w:val="clear" w:color="auto" w:fill="auto"/>
            <w:noWrap/>
            <w:vAlign w:val="center"/>
            <w:hideMark/>
          </w:tcPr>
          <w:p w14:paraId="5313D47C"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1.156</w:t>
            </w:r>
          </w:p>
        </w:tc>
        <w:tc>
          <w:tcPr>
            <w:tcW w:w="1455" w:type="dxa"/>
            <w:tcBorders>
              <w:top w:val="nil"/>
              <w:left w:val="nil"/>
              <w:bottom w:val="single" w:sz="4" w:space="0" w:color="auto"/>
              <w:right w:val="single" w:sz="4" w:space="0" w:color="auto"/>
            </w:tcBorders>
            <w:shd w:val="clear" w:color="auto" w:fill="auto"/>
            <w:noWrap/>
            <w:vAlign w:val="center"/>
            <w:hideMark/>
          </w:tcPr>
          <w:p w14:paraId="3ACB7DC0"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000000" w:fill="BFBFBF"/>
            <w:noWrap/>
            <w:vAlign w:val="center"/>
            <w:hideMark/>
          </w:tcPr>
          <w:p w14:paraId="2BA40D63"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-1.497</w:t>
            </w:r>
          </w:p>
        </w:tc>
        <w:tc>
          <w:tcPr>
            <w:tcW w:w="1368" w:type="dxa"/>
            <w:tcBorders>
              <w:top w:val="nil"/>
              <w:left w:val="nil"/>
              <w:bottom w:val="single" w:sz="4" w:space="0" w:color="auto"/>
              <w:right w:val="single" w:sz="4" w:space="0" w:color="auto"/>
            </w:tcBorders>
            <w:shd w:val="clear" w:color="auto" w:fill="auto"/>
            <w:noWrap/>
            <w:vAlign w:val="center"/>
            <w:hideMark/>
          </w:tcPr>
          <w:p w14:paraId="4FA25240"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1.497</w:t>
            </w:r>
          </w:p>
        </w:tc>
        <w:tc>
          <w:tcPr>
            <w:tcW w:w="1368" w:type="dxa"/>
            <w:tcBorders>
              <w:top w:val="nil"/>
              <w:left w:val="nil"/>
              <w:bottom w:val="single" w:sz="4" w:space="0" w:color="auto"/>
              <w:right w:val="single" w:sz="4" w:space="0" w:color="auto"/>
            </w:tcBorders>
            <w:shd w:val="clear" w:color="auto" w:fill="auto"/>
            <w:noWrap/>
            <w:vAlign w:val="center"/>
            <w:hideMark/>
          </w:tcPr>
          <w:p w14:paraId="213A3F70"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52A06B87"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426" w:type="dxa"/>
            <w:tcBorders>
              <w:top w:val="nil"/>
              <w:left w:val="nil"/>
              <w:bottom w:val="single" w:sz="4" w:space="0" w:color="auto"/>
              <w:right w:val="single" w:sz="8" w:space="0" w:color="auto"/>
            </w:tcBorders>
            <w:shd w:val="clear" w:color="000000" w:fill="BFBFBF"/>
            <w:noWrap/>
            <w:vAlign w:val="center"/>
            <w:hideMark/>
          </w:tcPr>
          <w:p w14:paraId="6F49EA97"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r>
      <w:tr w:rsidR="00B85F86" w:rsidRPr="00B85F86" w14:paraId="587D0579" w14:textId="77777777" w:rsidTr="00B85F86">
        <w:trPr>
          <w:trHeight w:val="341"/>
        </w:trPr>
        <w:tc>
          <w:tcPr>
            <w:tcW w:w="3989" w:type="dxa"/>
            <w:tcBorders>
              <w:top w:val="nil"/>
              <w:left w:val="single" w:sz="8" w:space="0" w:color="auto"/>
              <w:bottom w:val="single" w:sz="4" w:space="0" w:color="auto"/>
              <w:right w:val="single" w:sz="4" w:space="0" w:color="auto"/>
            </w:tcBorders>
            <w:shd w:val="clear" w:color="auto" w:fill="auto"/>
            <w:vAlign w:val="center"/>
            <w:hideMark/>
          </w:tcPr>
          <w:p w14:paraId="45759907" w14:textId="77777777" w:rsidR="00B85F86" w:rsidRPr="00B85F86" w:rsidRDefault="00B85F86" w:rsidP="00B85F86">
            <w:pPr>
              <w:autoSpaceDE/>
              <w:autoSpaceDN/>
              <w:adjustRightInd/>
              <w:spacing w:after="0"/>
              <w:jc w:val="left"/>
              <w:rPr>
                <w:rFonts w:eastAsia="Times New Roman" w:cs="Arial"/>
                <w:sz w:val="16"/>
                <w:szCs w:val="16"/>
                <w:lang w:eastAsia="en-GB"/>
              </w:rPr>
            </w:pPr>
            <w:r w:rsidRPr="00B85F86">
              <w:rPr>
                <w:rFonts w:eastAsia="Times New Roman" w:cs="Arial"/>
                <w:sz w:val="16"/>
                <w:szCs w:val="16"/>
                <w:lang w:eastAsia="en-GB"/>
              </w:rPr>
              <w:t>Liquid Logic - Children's Services</w:t>
            </w:r>
          </w:p>
        </w:tc>
        <w:tc>
          <w:tcPr>
            <w:tcW w:w="1805" w:type="dxa"/>
            <w:tcBorders>
              <w:top w:val="nil"/>
              <w:left w:val="nil"/>
              <w:bottom w:val="single" w:sz="4" w:space="0" w:color="auto"/>
              <w:right w:val="single" w:sz="4" w:space="0" w:color="auto"/>
            </w:tcBorders>
            <w:shd w:val="clear" w:color="auto" w:fill="auto"/>
            <w:noWrap/>
            <w:vAlign w:val="center"/>
            <w:hideMark/>
          </w:tcPr>
          <w:p w14:paraId="4B7C759D"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-0.400</w:t>
            </w:r>
          </w:p>
        </w:tc>
        <w:tc>
          <w:tcPr>
            <w:tcW w:w="1368" w:type="dxa"/>
            <w:tcBorders>
              <w:top w:val="nil"/>
              <w:left w:val="nil"/>
              <w:bottom w:val="single" w:sz="4" w:space="0" w:color="auto"/>
              <w:right w:val="single" w:sz="4" w:space="0" w:color="auto"/>
            </w:tcBorders>
            <w:shd w:val="clear" w:color="auto" w:fill="auto"/>
            <w:noWrap/>
            <w:vAlign w:val="center"/>
            <w:hideMark/>
          </w:tcPr>
          <w:p w14:paraId="00B8F13D"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0.275</w:t>
            </w:r>
          </w:p>
        </w:tc>
        <w:tc>
          <w:tcPr>
            <w:tcW w:w="1455" w:type="dxa"/>
            <w:tcBorders>
              <w:top w:val="nil"/>
              <w:left w:val="nil"/>
              <w:bottom w:val="single" w:sz="4" w:space="0" w:color="auto"/>
              <w:right w:val="single" w:sz="4" w:space="0" w:color="auto"/>
            </w:tcBorders>
            <w:shd w:val="clear" w:color="auto" w:fill="auto"/>
            <w:noWrap/>
            <w:vAlign w:val="center"/>
            <w:hideMark/>
          </w:tcPr>
          <w:p w14:paraId="520B6589"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0.125</w:t>
            </w:r>
          </w:p>
        </w:tc>
        <w:tc>
          <w:tcPr>
            <w:tcW w:w="1368" w:type="dxa"/>
            <w:tcBorders>
              <w:top w:val="nil"/>
              <w:left w:val="nil"/>
              <w:bottom w:val="single" w:sz="4" w:space="0" w:color="auto"/>
              <w:right w:val="single" w:sz="4" w:space="0" w:color="auto"/>
            </w:tcBorders>
            <w:shd w:val="clear" w:color="000000" w:fill="BFBFBF"/>
            <w:noWrap/>
            <w:vAlign w:val="center"/>
            <w:hideMark/>
          </w:tcPr>
          <w:p w14:paraId="1A431157"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19FCEA02"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16AA196F"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169E6E79"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426" w:type="dxa"/>
            <w:tcBorders>
              <w:top w:val="nil"/>
              <w:left w:val="nil"/>
              <w:bottom w:val="single" w:sz="4" w:space="0" w:color="auto"/>
              <w:right w:val="single" w:sz="8" w:space="0" w:color="auto"/>
            </w:tcBorders>
            <w:shd w:val="clear" w:color="000000" w:fill="BFBFBF"/>
            <w:noWrap/>
            <w:vAlign w:val="center"/>
            <w:hideMark/>
          </w:tcPr>
          <w:p w14:paraId="5700E5CE"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r>
      <w:tr w:rsidR="00B85F86" w:rsidRPr="00B85F86" w14:paraId="79740E4F" w14:textId="77777777" w:rsidTr="00B85F86">
        <w:trPr>
          <w:trHeight w:val="341"/>
        </w:trPr>
        <w:tc>
          <w:tcPr>
            <w:tcW w:w="3989" w:type="dxa"/>
            <w:tcBorders>
              <w:top w:val="nil"/>
              <w:left w:val="single" w:sz="8" w:space="0" w:color="auto"/>
              <w:bottom w:val="single" w:sz="4" w:space="0" w:color="auto"/>
              <w:right w:val="single" w:sz="4" w:space="0" w:color="auto"/>
            </w:tcBorders>
            <w:shd w:val="clear" w:color="auto" w:fill="auto"/>
            <w:vAlign w:val="center"/>
            <w:hideMark/>
          </w:tcPr>
          <w:p w14:paraId="4F47D38A" w14:textId="77777777" w:rsidR="00B85F86" w:rsidRPr="00B85F86" w:rsidRDefault="00B85F86" w:rsidP="00B85F86">
            <w:pPr>
              <w:autoSpaceDE/>
              <w:autoSpaceDN/>
              <w:adjustRightInd/>
              <w:spacing w:after="0"/>
              <w:jc w:val="left"/>
              <w:rPr>
                <w:rFonts w:eastAsia="Times New Roman" w:cs="Arial"/>
                <w:sz w:val="16"/>
                <w:szCs w:val="16"/>
                <w:lang w:eastAsia="en-GB"/>
              </w:rPr>
            </w:pPr>
            <w:r w:rsidRPr="00B85F86">
              <w:rPr>
                <w:rFonts w:eastAsia="Times New Roman" w:cs="Arial"/>
                <w:sz w:val="16"/>
                <w:szCs w:val="16"/>
                <w:lang w:eastAsia="en-GB"/>
              </w:rPr>
              <w:t>Liquid Logic - Adult Social Care</w:t>
            </w:r>
          </w:p>
        </w:tc>
        <w:tc>
          <w:tcPr>
            <w:tcW w:w="1805" w:type="dxa"/>
            <w:tcBorders>
              <w:top w:val="nil"/>
              <w:left w:val="nil"/>
              <w:bottom w:val="single" w:sz="4" w:space="0" w:color="auto"/>
              <w:right w:val="single" w:sz="4" w:space="0" w:color="auto"/>
            </w:tcBorders>
            <w:shd w:val="clear" w:color="auto" w:fill="auto"/>
            <w:noWrap/>
            <w:vAlign w:val="center"/>
            <w:hideMark/>
          </w:tcPr>
          <w:p w14:paraId="118B3425"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-0.250</w:t>
            </w:r>
          </w:p>
        </w:tc>
        <w:tc>
          <w:tcPr>
            <w:tcW w:w="1368" w:type="dxa"/>
            <w:tcBorders>
              <w:top w:val="nil"/>
              <w:left w:val="nil"/>
              <w:bottom w:val="single" w:sz="4" w:space="0" w:color="auto"/>
              <w:right w:val="single" w:sz="4" w:space="0" w:color="auto"/>
            </w:tcBorders>
            <w:shd w:val="clear" w:color="auto" w:fill="auto"/>
            <w:noWrap/>
            <w:vAlign w:val="center"/>
            <w:hideMark/>
          </w:tcPr>
          <w:p w14:paraId="245C2F35"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455" w:type="dxa"/>
            <w:tcBorders>
              <w:top w:val="nil"/>
              <w:left w:val="nil"/>
              <w:bottom w:val="single" w:sz="4" w:space="0" w:color="auto"/>
              <w:right w:val="single" w:sz="4" w:space="0" w:color="auto"/>
            </w:tcBorders>
            <w:shd w:val="clear" w:color="auto" w:fill="auto"/>
            <w:noWrap/>
            <w:vAlign w:val="center"/>
            <w:hideMark/>
          </w:tcPr>
          <w:p w14:paraId="7F8BCDD4"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0.250</w:t>
            </w:r>
          </w:p>
        </w:tc>
        <w:tc>
          <w:tcPr>
            <w:tcW w:w="1368" w:type="dxa"/>
            <w:tcBorders>
              <w:top w:val="nil"/>
              <w:left w:val="nil"/>
              <w:bottom w:val="single" w:sz="4" w:space="0" w:color="auto"/>
              <w:right w:val="single" w:sz="4" w:space="0" w:color="auto"/>
            </w:tcBorders>
            <w:shd w:val="clear" w:color="000000" w:fill="BFBFBF"/>
            <w:noWrap/>
            <w:vAlign w:val="center"/>
            <w:hideMark/>
          </w:tcPr>
          <w:p w14:paraId="31644C75"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6FD5E384"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7B8635F0"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66D0231C"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426" w:type="dxa"/>
            <w:tcBorders>
              <w:top w:val="nil"/>
              <w:left w:val="nil"/>
              <w:bottom w:val="single" w:sz="4" w:space="0" w:color="auto"/>
              <w:right w:val="single" w:sz="8" w:space="0" w:color="auto"/>
            </w:tcBorders>
            <w:shd w:val="clear" w:color="000000" w:fill="BFBFBF"/>
            <w:noWrap/>
            <w:vAlign w:val="center"/>
            <w:hideMark/>
          </w:tcPr>
          <w:p w14:paraId="59DFCACD"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r>
      <w:tr w:rsidR="00B85F86" w:rsidRPr="00B85F86" w14:paraId="03A0A781" w14:textId="77777777" w:rsidTr="00B85F86">
        <w:trPr>
          <w:trHeight w:val="425"/>
        </w:trPr>
        <w:tc>
          <w:tcPr>
            <w:tcW w:w="3989" w:type="dxa"/>
            <w:tcBorders>
              <w:top w:val="nil"/>
              <w:left w:val="single" w:sz="8" w:space="0" w:color="auto"/>
              <w:bottom w:val="single" w:sz="4" w:space="0" w:color="auto"/>
              <w:right w:val="single" w:sz="4" w:space="0" w:color="auto"/>
            </w:tcBorders>
            <w:shd w:val="clear" w:color="auto" w:fill="auto"/>
            <w:vAlign w:val="center"/>
            <w:hideMark/>
          </w:tcPr>
          <w:p w14:paraId="7455E5DB" w14:textId="77777777" w:rsidR="00B85F86" w:rsidRPr="00B85F86" w:rsidRDefault="00B85F86" w:rsidP="00B85F86">
            <w:pPr>
              <w:autoSpaceDE/>
              <w:autoSpaceDN/>
              <w:adjustRightInd/>
              <w:spacing w:after="0"/>
              <w:jc w:val="left"/>
              <w:rPr>
                <w:rFonts w:eastAsia="Times New Roman" w:cs="Arial"/>
                <w:sz w:val="16"/>
                <w:szCs w:val="16"/>
                <w:lang w:eastAsia="en-GB"/>
              </w:rPr>
            </w:pPr>
            <w:r w:rsidRPr="00B85F86">
              <w:rPr>
                <w:rFonts w:eastAsia="Times New Roman" w:cs="Arial"/>
                <w:sz w:val="16"/>
                <w:szCs w:val="16"/>
                <w:lang w:eastAsia="en-GB"/>
              </w:rPr>
              <w:t>Payment of additional allowances when staff are on leave</w:t>
            </w:r>
          </w:p>
        </w:tc>
        <w:tc>
          <w:tcPr>
            <w:tcW w:w="1805" w:type="dxa"/>
            <w:tcBorders>
              <w:top w:val="nil"/>
              <w:left w:val="nil"/>
              <w:bottom w:val="single" w:sz="4" w:space="0" w:color="auto"/>
              <w:right w:val="single" w:sz="4" w:space="0" w:color="auto"/>
            </w:tcBorders>
            <w:shd w:val="clear" w:color="auto" w:fill="auto"/>
            <w:noWrap/>
            <w:vAlign w:val="center"/>
            <w:hideMark/>
          </w:tcPr>
          <w:p w14:paraId="1E5FF7D3"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-1.300</w:t>
            </w:r>
          </w:p>
        </w:tc>
        <w:tc>
          <w:tcPr>
            <w:tcW w:w="1368" w:type="dxa"/>
            <w:tcBorders>
              <w:top w:val="nil"/>
              <w:left w:val="nil"/>
              <w:bottom w:val="single" w:sz="4" w:space="0" w:color="auto"/>
              <w:right w:val="single" w:sz="4" w:space="0" w:color="auto"/>
            </w:tcBorders>
            <w:shd w:val="clear" w:color="auto" w:fill="auto"/>
            <w:noWrap/>
            <w:vAlign w:val="center"/>
            <w:hideMark/>
          </w:tcPr>
          <w:p w14:paraId="62B31777"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1.300</w:t>
            </w:r>
          </w:p>
        </w:tc>
        <w:tc>
          <w:tcPr>
            <w:tcW w:w="1455" w:type="dxa"/>
            <w:tcBorders>
              <w:top w:val="nil"/>
              <w:left w:val="nil"/>
              <w:bottom w:val="single" w:sz="4" w:space="0" w:color="auto"/>
              <w:right w:val="single" w:sz="4" w:space="0" w:color="auto"/>
            </w:tcBorders>
            <w:shd w:val="clear" w:color="auto" w:fill="auto"/>
            <w:noWrap/>
            <w:vAlign w:val="center"/>
            <w:hideMark/>
          </w:tcPr>
          <w:p w14:paraId="0B982AD1"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000000" w:fill="BFBFBF"/>
            <w:noWrap/>
            <w:vAlign w:val="center"/>
            <w:hideMark/>
          </w:tcPr>
          <w:p w14:paraId="67AF4DB2"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4B44813A"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1E1E6690"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0F5169A6"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426" w:type="dxa"/>
            <w:tcBorders>
              <w:top w:val="nil"/>
              <w:left w:val="nil"/>
              <w:bottom w:val="single" w:sz="4" w:space="0" w:color="auto"/>
              <w:right w:val="single" w:sz="8" w:space="0" w:color="auto"/>
            </w:tcBorders>
            <w:shd w:val="clear" w:color="000000" w:fill="BFBFBF"/>
            <w:noWrap/>
            <w:vAlign w:val="center"/>
            <w:hideMark/>
          </w:tcPr>
          <w:p w14:paraId="414EB5C9"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r>
      <w:tr w:rsidR="00B85F86" w:rsidRPr="00B85F86" w14:paraId="04772B92" w14:textId="77777777" w:rsidTr="00B85F86">
        <w:trPr>
          <w:trHeight w:val="425"/>
        </w:trPr>
        <w:tc>
          <w:tcPr>
            <w:tcW w:w="3989" w:type="dxa"/>
            <w:tcBorders>
              <w:top w:val="nil"/>
              <w:left w:val="single" w:sz="8" w:space="0" w:color="auto"/>
              <w:bottom w:val="single" w:sz="4" w:space="0" w:color="auto"/>
              <w:right w:val="single" w:sz="4" w:space="0" w:color="auto"/>
            </w:tcBorders>
            <w:shd w:val="clear" w:color="auto" w:fill="auto"/>
            <w:vAlign w:val="center"/>
            <w:hideMark/>
          </w:tcPr>
          <w:p w14:paraId="4546BE47" w14:textId="77777777" w:rsidR="00B85F86" w:rsidRPr="00B85F86" w:rsidRDefault="00B85F86" w:rsidP="00B85F86">
            <w:pPr>
              <w:autoSpaceDE/>
              <w:autoSpaceDN/>
              <w:adjustRightInd/>
              <w:spacing w:after="0"/>
              <w:jc w:val="left"/>
              <w:rPr>
                <w:rFonts w:eastAsia="Times New Roman" w:cs="Arial"/>
                <w:sz w:val="16"/>
                <w:szCs w:val="16"/>
                <w:lang w:eastAsia="en-GB"/>
              </w:rPr>
            </w:pPr>
            <w:r w:rsidRPr="00B85F86">
              <w:rPr>
                <w:rFonts w:eastAsia="Times New Roman" w:cs="Arial"/>
                <w:sz w:val="16"/>
                <w:szCs w:val="16"/>
                <w:lang w:eastAsia="en-GB"/>
              </w:rPr>
              <w:t>Transfer to Transitional Reserve for Wellbeing</w:t>
            </w:r>
          </w:p>
        </w:tc>
        <w:tc>
          <w:tcPr>
            <w:tcW w:w="1805" w:type="dxa"/>
            <w:tcBorders>
              <w:top w:val="nil"/>
              <w:left w:val="nil"/>
              <w:bottom w:val="single" w:sz="4" w:space="0" w:color="auto"/>
              <w:right w:val="single" w:sz="4" w:space="0" w:color="auto"/>
            </w:tcBorders>
            <w:shd w:val="clear" w:color="auto" w:fill="auto"/>
            <w:noWrap/>
            <w:vAlign w:val="center"/>
            <w:hideMark/>
          </w:tcPr>
          <w:p w14:paraId="45FE8F65"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-3.000</w:t>
            </w:r>
          </w:p>
        </w:tc>
        <w:tc>
          <w:tcPr>
            <w:tcW w:w="1368" w:type="dxa"/>
            <w:tcBorders>
              <w:top w:val="nil"/>
              <w:left w:val="nil"/>
              <w:bottom w:val="single" w:sz="4" w:space="0" w:color="auto"/>
              <w:right w:val="single" w:sz="4" w:space="0" w:color="auto"/>
            </w:tcBorders>
            <w:shd w:val="clear" w:color="auto" w:fill="auto"/>
            <w:noWrap/>
            <w:vAlign w:val="center"/>
            <w:hideMark/>
          </w:tcPr>
          <w:p w14:paraId="51CFFB38"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455" w:type="dxa"/>
            <w:tcBorders>
              <w:top w:val="nil"/>
              <w:left w:val="nil"/>
              <w:bottom w:val="single" w:sz="4" w:space="0" w:color="auto"/>
              <w:right w:val="single" w:sz="4" w:space="0" w:color="auto"/>
            </w:tcBorders>
            <w:shd w:val="clear" w:color="auto" w:fill="auto"/>
            <w:noWrap/>
            <w:vAlign w:val="center"/>
            <w:hideMark/>
          </w:tcPr>
          <w:p w14:paraId="32E571E8"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3.000</w:t>
            </w:r>
          </w:p>
        </w:tc>
        <w:tc>
          <w:tcPr>
            <w:tcW w:w="1368" w:type="dxa"/>
            <w:tcBorders>
              <w:top w:val="nil"/>
              <w:left w:val="nil"/>
              <w:bottom w:val="single" w:sz="4" w:space="0" w:color="auto"/>
              <w:right w:val="single" w:sz="4" w:space="0" w:color="auto"/>
            </w:tcBorders>
            <w:shd w:val="clear" w:color="000000" w:fill="BFBFBF"/>
            <w:noWrap/>
            <w:vAlign w:val="center"/>
            <w:hideMark/>
          </w:tcPr>
          <w:p w14:paraId="274F8D9A"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31F808E4"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1379D24C"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14:paraId="43855B51" w14:textId="77777777" w:rsidR="00B85F86" w:rsidRPr="00B85F86" w:rsidRDefault="00B85F86" w:rsidP="00B85F86">
            <w:pPr>
              <w:autoSpaceDE/>
              <w:autoSpaceDN/>
              <w:adjustRightInd/>
              <w:spacing w:after="0"/>
              <w:jc w:val="center"/>
              <w:rPr>
                <w:rFonts w:eastAsia="Times New Roman" w:cs="Arial"/>
                <w:sz w:val="16"/>
                <w:szCs w:val="16"/>
                <w:lang w:eastAsia="en-GB"/>
              </w:rPr>
            </w:pPr>
            <w:r w:rsidRPr="00B85F86">
              <w:rPr>
                <w:rFonts w:eastAsia="Times New Roman" w:cs="Arial"/>
                <w:sz w:val="16"/>
                <w:szCs w:val="16"/>
                <w:lang w:eastAsia="en-GB"/>
              </w:rPr>
              <w:t>0.000</w:t>
            </w:r>
          </w:p>
        </w:tc>
        <w:tc>
          <w:tcPr>
            <w:tcW w:w="1426" w:type="dxa"/>
            <w:tcBorders>
              <w:top w:val="nil"/>
              <w:left w:val="nil"/>
              <w:bottom w:val="single" w:sz="4" w:space="0" w:color="auto"/>
              <w:right w:val="single" w:sz="8" w:space="0" w:color="auto"/>
            </w:tcBorders>
            <w:shd w:val="clear" w:color="000000" w:fill="BFBFBF"/>
            <w:noWrap/>
            <w:vAlign w:val="center"/>
            <w:hideMark/>
          </w:tcPr>
          <w:p w14:paraId="6E0D049F"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r>
      <w:tr w:rsidR="00B85F86" w:rsidRPr="00B85F86" w14:paraId="43A79868" w14:textId="77777777" w:rsidTr="00B85F86">
        <w:trPr>
          <w:trHeight w:val="341"/>
        </w:trPr>
        <w:tc>
          <w:tcPr>
            <w:tcW w:w="3989" w:type="dxa"/>
            <w:tcBorders>
              <w:top w:val="nil"/>
              <w:left w:val="single" w:sz="8" w:space="0" w:color="auto"/>
              <w:bottom w:val="single" w:sz="8" w:space="0" w:color="auto"/>
              <w:right w:val="single" w:sz="4" w:space="0" w:color="auto"/>
            </w:tcBorders>
            <w:shd w:val="clear" w:color="000000" w:fill="BFBFBF"/>
            <w:vAlign w:val="center"/>
            <w:hideMark/>
          </w:tcPr>
          <w:p w14:paraId="6ACF316A" w14:textId="77777777" w:rsidR="00B85F86" w:rsidRPr="00B85F86" w:rsidRDefault="00B85F86" w:rsidP="00B85F86">
            <w:pPr>
              <w:autoSpaceDE/>
              <w:autoSpaceDN/>
              <w:adjustRightInd/>
              <w:spacing w:after="0"/>
              <w:jc w:val="left"/>
              <w:rPr>
                <w:rFonts w:eastAsia="Times New Roman" w:cs="Arial"/>
                <w:b/>
                <w:bCs/>
                <w:sz w:val="16"/>
                <w:szCs w:val="16"/>
                <w:lang w:eastAsia="en-GB"/>
              </w:rPr>
            </w:pPr>
            <w:r w:rsidRPr="00B85F86">
              <w:rPr>
                <w:rFonts w:eastAsia="Times New Roman" w:cs="Arial"/>
                <w:b/>
                <w:bCs/>
                <w:sz w:val="16"/>
                <w:szCs w:val="16"/>
                <w:lang w:eastAsia="en-GB"/>
              </w:rPr>
              <w:t>Total on Risk Management Reserve</w:t>
            </w:r>
          </w:p>
        </w:tc>
        <w:tc>
          <w:tcPr>
            <w:tcW w:w="1805" w:type="dxa"/>
            <w:tcBorders>
              <w:top w:val="nil"/>
              <w:left w:val="nil"/>
              <w:bottom w:val="single" w:sz="8" w:space="0" w:color="auto"/>
              <w:right w:val="single" w:sz="4" w:space="0" w:color="auto"/>
            </w:tcBorders>
            <w:shd w:val="clear" w:color="000000" w:fill="BFBFBF"/>
            <w:noWrap/>
            <w:vAlign w:val="center"/>
            <w:hideMark/>
          </w:tcPr>
          <w:p w14:paraId="29A7A43F"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-15.784</w:t>
            </w:r>
          </w:p>
        </w:tc>
        <w:tc>
          <w:tcPr>
            <w:tcW w:w="1368" w:type="dxa"/>
            <w:tcBorders>
              <w:top w:val="nil"/>
              <w:left w:val="nil"/>
              <w:bottom w:val="single" w:sz="8" w:space="0" w:color="auto"/>
              <w:right w:val="single" w:sz="4" w:space="0" w:color="auto"/>
            </w:tcBorders>
            <w:shd w:val="clear" w:color="000000" w:fill="BFBFBF"/>
            <w:noWrap/>
            <w:vAlign w:val="center"/>
            <w:hideMark/>
          </w:tcPr>
          <w:p w14:paraId="1F54DEBA"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3.155</w:t>
            </w:r>
          </w:p>
        </w:tc>
        <w:tc>
          <w:tcPr>
            <w:tcW w:w="1455" w:type="dxa"/>
            <w:tcBorders>
              <w:top w:val="nil"/>
              <w:left w:val="nil"/>
              <w:bottom w:val="single" w:sz="8" w:space="0" w:color="auto"/>
              <w:right w:val="single" w:sz="4" w:space="0" w:color="auto"/>
            </w:tcBorders>
            <w:shd w:val="clear" w:color="000000" w:fill="BFBFBF"/>
            <w:noWrap/>
            <w:vAlign w:val="center"/>
            <w:hideMark/>
          </w:tcPr>
          <w:p w14:paraId="15F1573F"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4.872</w:t>
            </w:r>
          </w:p>
        </w:tc>
        <w:tc>
          <w:tcPr>
            <w:tcW w:w="1368" w:type="dxa"/>
            <w:tcBorders>
              <w:top w:val="nil"/>
              <w:left w:val="nil"/>
              <w:bottom w:val="single" w:sz="8" w:space="0" w:color="auto"/>
              <w:right w:val="single" w:sz="4" w:space="0" w:color="auto"/>
            </w:tcBorders>
            <w:shd w:val="clear" w:color="000000" w:fill="BFBFBF"/>
            <w:noWrap/>
            <w:vAlign w:val="center"/>
            <w:hideMark/>
          </w:tcPr>
          <w:p w14:paraId="66ACBEE9"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-7.757</w:t>
            </w:r>
          </w:p>
        </w:tc>
        <w:tc>
          <w:tcPr>
            <w:tcW w:w="1368" w:type="dxa"/>
            <w:tcBorders>
              <w:top w:val="nil"/>
              <w:left w:val="nil"/>
              <w:bottom w:val="single" w:sz="8" w:space="0" w:color="auto"/>
              <w:right w:val="single" w:sz="4" w:space="0" w:color="auto"/>
            </w:tcBorders>
            <w:shd w:val="clear" w:color="000000" w:fill="BFBFBF"/>
            <w:noWrap/>
            <w:vAlign w:val="center"/>
            <w:hideMark/>
          </w:tcPr>
          <w:p w14:paraId="0C24E53D"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7.757</w:t>
            </w:r>
          </w:p>
        </w:tc>
        <w:tc>
          <w:tcPr>
            <w:tcW w:w="1368" w:type="dxa"/>
            <w:tcBorders>
              <w:top w:val="nil"/>
              <w:left w:val="nil"/>
              <w:bottom w:val="single" w:sz="8" w:space="0" w:color="auto"/>
              <w:right w:val="single" w:sz="4" w:space="0" w:color="auto"/>
            </w:tcBorders>
            <w:shd w:val="clear" w:color="000000" w:fill="BFBFBF"/>
            <w:noWrap/>
            <w:vAlign w:val="center"/>
            <w:hideMark/>
          </w:tcPr>
          <w:p w14:paraId="7E7AFA8C"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c>
          <w:tcPr>
            <w:tcW w:w="1368" w:type="dxa"/>
            <w:tcBorders>
              <w:top w:val="nil"/>
              <w:left w:val="nil"/>
              <w:bottom w:val="single" w:sz="8" w:space="0" w:color="auto"/>
              <w:right w:val="single" w:sz="4" w:space="0" w:color="auto"/>
            </w:tcBorders>
            <w:shd w:val="clear" w:color="000000" w:fill="BFBFBF"/>
            <w:noWrap/>
            <w:vAlign w:val="center"/>
            <w:hideMark/>
          </w:tcPr>
          <w:p w14:paraId="4EEABF33" w14:textId="77777777" w:rsidR="00B85F86" w:rsidRPr="00B85F86" w:rsidRDefault="00B85F86" w:rsidP="00B85F86">
            <w:pPr>
              <w:autoSpaceDE/>
              <w:autoSpaceDN/>
              <w:adjustRightInd/>
              <w:spacing w:after="0"/>
              <w:jc w:val="center"/>
              <w:rPr>
                <w:rFonts w:eastAsia="Times New Roman" w:cs="Arial"/>
                <w:b/>
                <w:bCs/>
                <w:sz w:val="16"/>
                <w:szCs w:val="16"/>
                <w:lang w:eastAsia="en-GB"/>
              </w:rPr>
            </w:pPr>
            <w:r w:rsidRPr="00B85F86">
              <w:rPr>
                <w:rFonts w:eastAsia="Times New Roman" w:cs="Arial"/>
                <w:b/>
                <w:bCs/>
                <w:sz w:val="16"/>
                <w:szCs w:val="16"/>
                <w:lang w:eastAsia="en-GB"/>
              </w:rPr>
              <w:t>0.000</w:t>
            </w:r>
          </w:p>
        </w:tc>
        <w:tc>
          <w:tcPr>
            <w:tcW w:w="1426" w:type="dxa"/>
            <w:tcBorders>
              <w:top w:val="nil"/>
              <w:left w:val="nil"/>
              <w:bottom w:val="single" w:sz="8" w:space="0" w:color="auto"/>
              <w:right w:val="single" w:sz="8" w:space="0" w:color="auto"/>
            </w:tcBorders>
            <w:shd w:val="clear" w:color="000000" w:fill="BFBFBF"/>
            <w:noWrap/>
            <w:vAlign w:val="center"/>
            <w:hideMark/>
          </w:tcPr>
          <w:p w14:paraId="1EB5E890" w14:textId="77777777" w:rsidR="00B85F86" w:rsidRPr="00B85F86" w:rsidRDefault="00B85F86" w:rsidP="00B85F86">
            <w:pPr>
              <w:autoSpaceDE/>
              <w:autoSpaceDN/>
              <w:adjustRightInd/>
              <w:spacing w:after="0"/>
              <w:jc w:val="center"/>
              <w:rPr>
                <w:rFonts w:eastAsia="Times New Roman" w:cs="Arial"/>
                <w:b/>
                <w:bCs/>
                <w:color w:val="auto"/>
                <w:sz w:val="16"/>
                <w:szCs w:val="16"/>
                <w:lang w:eastAsia="en-GB"/>
              </w:rPr>
            </w:pPr>
            <w:r w:rsidRPr="00B85F86">
              <w:rPr>
                <w:rFonts w:eastAsia="Times New Roman" w:cs="Arial"/>
                <w:b/>
                <w:bCs/>
                <w:color w:val="auto"/>
                <w:sz w:val="16"/>
                <w:szCs w:val="16"/>
                <w:lang w:eastAsia="en-GB"/>
              </w:rPr>
              <w:t>0.000</w:t>
            </w:r>
          </w:p>
        </w:tc>
      </w:tr>
    </w:tbl>
    <w:p w14:paraId="1DB83500" w14:textId="09D72E7E" w:rsidR="00101194" w:rsidRDefault="00101194" w:rsidP="00522A45">
      <w:pPr>
        <w:spacing w:after="0"/>
        <w:ind w:right="372"/>
        <w:jc w:val="right"/>
        <w:rPr>
          <w:rFonts w:eastAsia="Arial Unicode MS" w:cs="Arial"/>
          <w:b/>
          <w:u w:color="000000"/>
          <w:lang w:eastAsia="en-GB"/>
        </w:rPr>
        <w:sectPr w:rsidR="00101194" w:rsidSect="008B4BAB">
          <w:pgSz w:w="16838" w:h="11906" w:orient="landscape"/>
          <w:pgMar w:top="720" w:right="720" w:bottom="720" w:left="720" w:header="709" w:footer="709" w:gutter="0"/>
          <w:cols w:space="708"/>
          <w:docGrid w:linePitch="360"/>
        </w:sectPr>
      </w:pPr>
    </w:p>
    <w:p w14:paraId="2D22BB91" w14:textId="066E0A33" w:rsidR="007702A9" w:rsidRDefault="00F91AAC" w:rsidP="008F67E4">
      <w:pPr>
        <w:spacing w:after="0"/>
        <w:ind w:right="933"/>
        <w:jc w:val="right"/>
        <w:rPr>
          <w:rFonts w:eastAsia="Arial Unicode MS" w:cs="Arial"/>
          <w:b/>
          <w:u w:color="000000"/>
          <w:lang w:eastAsia="en-GB"/>
        </w:rPr>
      </w:pPr>
      <w:r>
        <w:rPr>
          <w:rFonts w:eastAsia="Arial Unicode MS" w:cs="Arial"/>
          <w:b/>
          <w:u w:color="000000"/>
          <w:lang w:eastAsia="en-GB"/>
        </w:rPr>
        <w:lastRenderedPageBreak/>
        <w:t>Annex C – Transitional Reserve</w:t>
      </w:r>
      <w:r w:rsidR="00B1169D">
        <w:rPr>
          <w:rFonts w:eastAsia="Arial Unicode MS" w:cs="Arial"/>
          <w:b/>
          <w:u w:color="000000"/>
          <w:lang w:eastAsia="en-GB"/>
        </w:rPr>
        <w:t xml:space="preserve"> &amp; Transition of Services Reserve</w:t>
      </w:r>
    </w:p>
    <w:p w14:paraId="7CD6D9A0" w14:textId="77777777" w:rsidR="00364ED3" w:rsidRDefault="00364ED3" w:rsidP="00364ED3">
      <w:pPr>
        <w:spacing w:after="0"/>
        <w:ind w:right="933"/>
        <w:jc w:val="right"/>
        <w:rPr>
          <w:rFonts w:eastAsia="Arial Unicode MS" w:cs="Arial"/>
          <w:b/>
          <w:u w:color="000000"/>
          <w:lang w:eastAsia="en-GB"/>
        </w:rPr>
      </w:pPr>
    </w:p>
    <w:p w14:paraId="4FF9FB9B" w14:textId="7508F2E2" w:rsidR="008F67E4" w:rsidRDefault="00B85F86" w:rsidP="00E25B6D">
      <w:pPr>
        <w:spacing w:after="0"/>
        <w:ind w:right="933"/>
        <w:rPr>
          <w:rFonts w:eastAsia="Arial Unicode MS" w:cs="Arial"/>
          <w:b/>
          <w:u w:color="000000"/>
          <w:lang w:eastAsia="en-GB"/>
        </w:rPr>
      </w:pPr>
      <w:r w:rsidRPr="00B85F86">
        <w:rPr>
          <w:noProof/>
          <w:lang w:eastAsia="en-GB"/>
        </w:rPr>
        <w:drawing>
          <wp:inline distT="0" distB="0" distL="0" distR="0" wp14:anchorId="0261E573" wp14:editId="58ED2C92">
            <wp:extent cx="6741042" cy="8756015"/>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88975" cy="8818275"/>
                    </a:xfrm>
                    <a:prstGeom prst="rect">
                      <a:avLst/>
                    </a:prstGeom>
                    <a:noFill/>
                    <a:ln>
                      <a:noFill/>
                    </a:ln>
                  </pic:spPr>
                </pic:pic>
              </a:graphicData>
            </a:graphic>
          </wp:inline>
        </w:drawing>
      </w:r>
    </w:p>
    <w:p w14:paraId="5F5B175A" w14:textId="77777777" w:rsidR="00F023BE" w:rsidRDefault="00F023BE" w:rsidP="00F91AAC">
      <w:pPr>
        <w:spacing w:after="0"/>
        <w:ind w:right="933"/>
        <w:jc w:val="right"/>
        <w:rPr>
          <w:rFonts w:eastAsia="Arial Unicode MS" w:cs="Arial"/>
          <w:b/>
          <w:u w:color="000000"/>
          <w:lang w:eastAsia="en-GB"/>
        </w:rPr>
      </w:pPr>
    </w:p>
    <w:p w14:paraId="449BC517" w14:textId="77777777" w:rsidR="00F023BE" w:rsidRDefault="00F023BE" w:rsidP="00F91AAC">
      <w:pPr>
        <w:spacing w:after="0"/>
        <w:ind w:right="933"/>
        <w:jc w:val="right"/>
        <w:rPr>
          <w:rFonts w:eastAsia="Arial Unicode MS" w:cs="Arial"/>
          <w:b/>
          <w:u w:color="000000"/>
          <w:lang w:eastAsia="en-GB"/>
        </w:rPr>
      </w:pPr>
    </w:p>
    <w:p w14:paraId="64DA95A2" w14:textId="37D43100" w:rsidR="003C35E9" w:rsidRDefault="00F91AAC" w:rsidP="00F91AAC">
      <w:pPr>
        <w:spacing w:after="0"/>
        <w:ind w:right="933"/>
        <w:jc w:val="right"/>
        <w:rPr>
          <w:rFonts w:eastAsia="Arial Unicode MS" w:cs="Arial"/>
          <w:b/>
          <w:u w:color="000000"/>
          <w:lang w:eastAsia="en-GB"/>
        </w:rPr>
      </w:pPr>
      <w:r>
        <w:rPr>
          <w:rFonts w:eastAsia="Arial Unicode MS" w:cs="Arial"/>
          <w:b/>
          <w:u w:color="000000"/>
          <w:lang w:eastAsia="en-GB"/>
        </w:rPr>
        <w:t>Annex D – Service Reserves</w:t>
      </w:r>
    </w:p>
    <w:p w14:paraId="7F868563" w14:textId="77777777" w:rsidR="00F023BE" w:rsidRDefault="00F023BE" w:rsidP="00F91AAC">
      <w:pPr>
        <w:spacing w:after="0"/>
        <w:ind w:right="933"/>
        <w:jc w:val="right"/>
        <w:rPr>
          <w:rFonts w:eastAsia="Arial Unicode MS" w:cs="Arial"/>
          <w:b/>
          <w:u w:color="000000"/>
          <w:lang w:eastAsia="en-GB"/>
        </w:rPr>
      </w:pPr>
    </w:p>
    <w:p w14:paraId="2F5CE62B" w14:textId="736B5D7E" w:rsidR="009A4199" w:rsidRDefault="00775EA2" w:rsidP="00F91AAC">
      <w:pPr>
        <w:spacing w:after="0"/>
        <w:ind w:right="933"/>
        <w:jc w:val="right"/>
        <w:rPr>
          <w:rFonts w:eastAsia="Arial Unicode MS" w:cs="Arial"/>
          <w:b/>
          <w:u w:color="000000"/>
          <w:lang w:eastAsia="en-GB"/>
        </w:rPr>
      </w:pPr>
      <w:r w:rsidRPr="00775EA2">
        <w:drawing>
          <wp:inline distT="0" distB="0" distL="0" distR="0" wp14:anchorId="0661F2F8" wp14:editId="4F176B06">
            <wp:extent cx="6719353" cy="807910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42426" cy="8106848"/>
                    </a:xfrm>
                    <a:prstGeom prst="rect">
                      <a:avLst/>
                    </a:prstGeom>
                    <a:noFill/>
                    <a:ln>
                      <a:noFill/>
                    </a:ln>
                  </pic:spPr>
                </pic:pic>
              </a:graphicData>
            </a:graphic>
          </wp:inline>
        </w:drawing>
      </w:r>
    </w:p>
    <w:p w14:paraId="5D24BAE7" w14:textId="5779F1DA" w:rsidR="009A4199" w:rsidRDefault="009A4199" w:rsidP="00F91AAC">
      <w:pPr>
        <w:spacing w:after="0"/>
        <w:ind w:right="933"/>
        <w:jc w:val="right"/>
        <w:rPr>
          <w:rFonts w:eastAsia="Arial Unicode MS" w:cs="Arial"/>
          <w:b/>
          <w:u w:color="000000"/>
          <w:lang w:eastAsia="en-GB"/>
        </w:rPr>
      </w:pPr>
    </w:p>
    <w:p w14:paraId="0E6A3485" w14:textId="3BFCAA0A" w:rsidR="00D133B0" w:rsidRDefault="00D133B0" w:rsidP="00D133B0">
      <w:pPr>
        <w:spacing w:after="0"/>
        <w:ind w:right="933"/>
        <w:jc w:val="left"/>
        <w:rPr>
          <w:rFonts w:eastAsia="Arial Unicode MS" w:cs="Arial"/>
          <w:b/>
          <w:u w:color="000000"/>
          <w:lang w:eastAsia="en-GB"/>
        </w:rPr>
      </w:pPr>
      <w:r w:rsidRPr="006F2DE0">
        <w:rPr>
          <w:rFonts w:cs="Arial"/>
          <w:i/>
          <w:sz w:val="20"/>
          <w:szCs w:val="20"/>
        </w:rPr>
        <w:t xml:space="preserve">Note: </w:t>
      </w:r>
      <w:r>
        <w:rPr>
          <w:rFonts w:cs="Arial"/>
          <w:i/>
          <w:sz w:val="20"/>
          <w:szCs w:val="20"/>
        </w:rPr>
        <w:t xml:space="preserve">included in the LCC Waste Plant Rectification reserve </w:t>
      </w:r>
      <w:r w:rsidR="00CB32DC">
        <w:rPr>
          <w:rFonts w:cs="Arial"/>
          <w:i/>
          <w:sz w:val="20"/>
          <w:szCs w:val="20"/>
        </w:rPr>
        <w:t>at 31</w:t>
      </w:r>
      <w:r w:rsidR="00CB32DC" w:rsidRPr="00CB32DC">
        <w:rPr>
          <w:rFonts w:cs="Arial"/>
          <w:i/>
          <w:sz w:val="20"/>
          <w:szCs w:val="20"/>
          <w:vertAlign w:val="superscript"/>
        </w:rPr>
        <w:t>st</w:t>
      </w:r>
      <w:r w:rsidR="00CB32DC">
        <w:rPr>
          <w:rFonts w:cs="Arial"/>
          <w:i/>
          <w:sz w:val="20"/>
          <w:szCs w:val="20"/>
        </w:rPr>
        <w:t xml:space="preserve"> March 2017 </w:t>
      </w:r>
      <w:r>
        <w:rPr>
          <w:rFonts w:cs="Arial"/>
          <w:i/>
          <w:sz w:val="20"/>
          <w:szCs w:val="20"/>
        </w:rPr>
        <w:t xml:space="preserve">is </w:t>
      </w:r>
      <w:r w:rsidR="00A248E4">
        <w:rPr>
          <w:rFonts w:cs="Arial"/>
          <w:i/>
          <w:sz w:val="20"/>
          <w:szCs w:val="20"/>
        </w:rPr>
        <w:t>a forecast £0.491</w:t>
      </w:r>
      <w:r>
        <w:rPr>
          <w:rFonts w:cs="Arial"/>
          <w:i/>
          <w:sz w:val="20"/>
          <w:szCs w:val="20"/>
        </w:rPr>
        <w:t>m held for Blackpool Borough Council.</w:t>
      </w:r>
    </w:p>
    <w:sectPr w:rsidR="00D133B0" w:rsidSect="00CA55D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26724" w14:textId="77777777" w:rsidR="00355458" w:rsidRDefault="00355458" w:rsidP="00124FDC">
      <w:pPr>
        <w:spacing w:after="0"/>
      </w:pPr>
      <w:r>
        <w:separator/>
      </w:r>
    </w:p>
  </w:endnote>
  <w:endnote w:type="continuationSeparator" w:id="0">
    <w:p w14:paraId="5382F092" w14:textId="77777777" w:rsidR="00355458" w:rsidRDefault="00355458"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62844" w14:textId="77777777" w:rsidR="00355458" w:rsidRDefault="00355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622303"/>
      <w:docPartObj>
        <w:docPartGallery w:val="Page Numbers (Bottom of Page)"/>
        <w:docPartUnique/>
      </w:docPartObj>
    </w:sdtPr>
    <w:sdtEndPr>
      <w:rPr>
        <w:noProof/>
      </w:rPr>
    </w:sdtEndPr>
    <w:sdtContent>
      <w:p w14:paraId="5B030F8B" w14:textId="77777777" w:rsidR="00355458" w:rsidRDefault="00355458">
        <w:pPr>
          <w:pStyle w:val="Footer"/>
        </w:pPr>
        <w:r>
          <w:fldChar w:fldCharType="begin"/>
        </w:r>
        <w:r>
          <w:instrText xml:space="preserve"> PAGE   \* MERGEFORMAT </w:instrText>
        </w:r>
        <w:r>
          <w:fldChar w:fldCharType="separate"/>
        </w:r>
        <w:r w:rsidR="00775EA2">
          <w:rPr>
            <w:noProof/>
          </w:rPr>
          <w:t>13</w:t>
        </w:r>
        <w:r>
          <w:rPr>
            <w:noProof/>
          </w:rPr>
          <w:fldChar w:fldCharType="end"/>
        </w:r>
      </w:p>
    </w:sdtContent>
  </w:sdt>
  <w:p w14:paraId="1F7826F5" w14:textId="77777777" w:rsidR="00355458" w:rsidRDefault="003554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1A9CA" w14:textId="77777777" w:rsidR="00355458" w:rsidRDefault="00355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9C5BE" w14:textId="77777777" w:rsidR="00355458" w:rsidRDefault="00355458" w:rsidP="00124FDC">
      <w:pPr>
        <w:spacing w:after="0"/>
      </w:pPr>
      <w:r>
        <w:separator/>
      </w:r>
    </w:p>
  </w:footnote>
  <w:footnote w:type="continuationSeparator" w:id="0">
    <w:p w14:paraId="77A3057A" w14:textId="77777777" w:rsidR="00355458" w:rsidRDefault="00355458"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357C9" w14:textId="77777777" w:rsidR="00355458" w:rsidRDefault="00355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07F0C" w14:textId="4C785518" w:rsidR="00355458" w:rsidRDefault="00355458">
    <w:pPr>
      <w:pStyle w:val="Header"/>
    </w:pPr>
    <w:r>
      <w:rPr>
        <w:noProof/>
        <w:lang w:eastAsia="en-GB"/>
      </w:rPr>
      <w:drawing>
        <wp:anchor distT="0" distB="0" distL="114300" distR="114300" simplePos="0" relativeHeight="251656192" behindDoc="1" locked="0" layoutInCell="1" allowOverlap="1" wp14:anchorId="6C77939A" wp14:editId="4266754E">
          <wp:simplePos x="0" y="0"/>
          <wp:positionH relativeFrom="column">
            <wp:posOffset>-915035</wp:posOffset>
          </wp:positionH>
          <wp:positionV relativeFrom="paragraph">
            <wp:posOffset>-189230</wp:posOffset>
          </wp:positionV>
          <wp:extent cx="7548880" cy="6653530"/>
          <wp:effectExtent l="19050" t="0" r="0" b="0"/>
          <wp:wrapNone/>
          <wp:docPr id="18" name="Picture 18"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E3D33" w14:textId="77777777" w:rsidR="00355458" w:rsidRDefault="00355458" w:rsidP="00846AEA">
    <w:pPr>
      <w:pStyle w:val="Header"/>
    </w:pPr>
    <w:r>
      <w:rPr>
        <w:noProof/>
        <w:lang w:eastAsia="en-GB"/>
      </w:rPr>
      <w:drawing>
        <wp:anchor distT="0" distB="0" distL="114300" distR="114300" simplePos="0" relativeHeight="251657216" behindDoc="1" locked="0" layoutInCell="1" allowOverlap="1" wp14:anchorId="6FAEFCA3" wp14:editId="271EE81C">
          <wp:simplePos x="0" y="0"/>
          <wp:positionH relativeFrom="page">
            <wp:posOffset>-12065</wp:posOffset>
          </wp:positionH>
          <wp:positionV relativeFrom="paragraph">
            <wp:posOffset>-450850</wp:posOffset>
          </wp:positionV>
          <wp:extent cx="7568565" cy="10720070"/>
          <wp:effectExtent l="0" t="0" r="0" b="5080"/>
          <wp:wrapNone/>
          <wp:docPr id="19"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r>
      <w:rPr>
        <w:noProof/>
        <w:lang w:eastAsia="en-GB"/>
      </w:rPr>
      <mc:AlternateContent>
        <mc:Choice Requires="wps">
          <w:drawing>
            <wp:anchor distT="45720" distB="45720" distL="114300" distR="114300" simplePos="0" relativeHeight="251658240" behindDoc="0" locked="0" layoutInCell="1" allowOverlap="1" wp14:anchorId="67BB4D6A" wp14:editId="1795D425">
              <wp:simplePos x="0" y="0"/>
              <wp:positionH relativeFrom="column">
                <wp:posOffset>5384165</wp:posOffset>
              </wp:positionH>
              <wp:positionV relativeFrom="paragraph">
                <wp:posOffset>-173990</wp:posOffset>
              </wp:positionV>
              <wp:extent cx="1092835" cy="1404620"/>
              <wp:effectExtent l="0" t="0" r="1206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404620"/>
                      </a:xfrm>
                      <a:prstGeom prst="rect">
                        <a:avLst/>
                      </a:prstGeom>
                      <a:solidFill>
                        <a:srgbClr val="FFFFFF"/>
                      </a:solidFill>
                      <a:ln w="9525">
                        <a:solidFill>
                          <a:srgbClr val="000000"/>
                        </a:solidFill>
                        <a:miter lim="800000"/>
                        <a:headEnd/>
                        <a:tailEnd/>
                      </a:ln>
                    </wps:spPr>
                    <wps:txbx>
                      <w:txbxContent>
                        <w:p w14:paraId="6F2B340B" w14:textId="20D96C78" w:rsidR="00355458" w:rsidRPr="000C5639" w:rsidRDefault="00355458" w:rsidP="008308E2">
                          <w:pPr>
                            <w:rPr>
                              <w:b/>
                            </w:rPr>
                          </w:pPr>
                          <w:r w:rsidRPr="000C5639">
                            <w:rPr>
                              <w:b/>
                            </w:rPr>
                            <w:t xml:space="preserve">Appendix </w:t>
                          </w:r>
                          <w:r>
                            <w:rPr>
                              <w:b/>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BB4D6A" id="_x0000_t202" coordsize="21600,21600" o:spt="202" path="m,l,21600r21600,l21600,xe">
              <v:stroke joinstyle="miter"/>
              <v:path gradientshapeok="t" o:connecttype="rect"/>
            </v:shapetype>
            <v:shape id="Text Box 2" o:spid="_x0000_s1027" type="#_x0000_t202" style="position:absolute;left:0;text-align:left;margin-left:423.95pt;margin-top:-13.7pt;width:86.0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">
              <v:textbox style="mso-fit-shape-to-text:t">
                <w:txbxContent>
                  <w:p w14:paraId="6F2B340B" w14:textId="20D96C78" w:rsidR="00355458" w:rsidRPr="000C5639" w:rsidRDefault="00355458" w:rsidP="008308E2">
                    <w:pPr>
                      <w:rPr>
                        <w:b/>
                      </w:rPr>
                    </w:pPr>
                    <w:r w:rsidRPr="000C5639">
                      <w:rPr>
                        <w:b/>
                      </w:rPr>
                      <w:t xml:space="preserve">Appendix </w:t>
                    </w:r>
                    <w:r>
                      <w:rPr>
                        <w:b/>
                      </w:rPr>
                      <w:t>C</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6FD41C2"/>
    <w:multiLevelType w:val="hybridMultilevel"/>
    <w:tmpl w:val="C072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B6A0AD0"/>
    <w:multiLevelType w:val="hybridMultilevel"/>
    <w:tmpl w:val="6130C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445781"/>
    <w:multiLevelType w:val="hybridMultilevel"/>
    <w:tmpl w:val="7D10723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2A720947"/>
    <w:multiLevelType w:val="hybridMultilevel"/>
    <w:tmpl w:val="1EF0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372947"/>
    <w:multiLevelType w:val="hybridMultilevel"/>
    <w:tmpl w:val="7828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84749C"/>
    <w:multiLevelType w:val="hybridMultilevel"/>
    <w:tmpl w:val="B384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38D455ED"/>
    <w:multiLevelType w:val="hybridMultilevel"/>
    <w:tmpl w:val="64EE7634"/>
    <w:lvl w:ilvl="0" w:tplc="B2CE2D0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D57106"/>
    <w:multiLevelType w:val="hybridMultilevel"/>
    <w:tmpl w:val="E0FA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3D0E88"/>
    <w:multiLevelType w:val="hybridMultilevel"/>
    <w:tmpl w:val="6B088218"/>
    <w:lvl w:ilvl="0" w:tplc="F230B1F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9F550E"/>
    <w:multiLevelType w:val="hybridMultilevel"/>
    <w:tmpl w:val="0D42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4887F59"/>
    <w:multiLevelType w:val="hybridMultilevel"/>
    <w:tmpl w:val="A43A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1165D"/>
    <w:multiLevelType w:val="hybridMultilevel"/>
    <w:tmpl w:val="537E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AE05E5"/>
    <w:multiLevelType w:val="hybridMultilevel"/>
    <w:tmpl w:val="C01C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915990"/>
    <w:multiLevelType w:val="hybridMultilevel"/>
    <w:tmpl w:val="53D8E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CAB07B0"/>
    <w:multiLevelType w:val="hybridMultilevel"/>
    <w:tmpl w:val="F262516C"/>
    <w:lvl w:ilvl="0" w:tplc="DA2459FE">
      <w:start w:val="5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196EB2"/>
    <w:multiLevelType w:val="hybridMultilevel"/>
    <w:tmpl w:val="C06C8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37"/>
  </w:num>
  <w:num w:numId="4">
    <w:abstractNumId w:val="32"/>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0"/>
  </w:num>
  <w:num w:numId="27">
    <w:abstractNumId w:val="31"/>
  </w:num>
  <w:num w:numId="28">
    <w:abstractNumId w:val="33"/>
  </w:num>
  <w:num w:numId="29">
    <w:abstractNumId w:val="24"/>
  </w:num>
  <w:num w:numId="30">
    <w:abstractNumId w:val="35"/>
  </w:num>
  <w:num w:numId="31">
    <w:abstractNumId w:val="38"/>
  </w:num>
  <w:num w:numId="32">
    <w:abstractNumId w:val="30"/>
  </w:num>
  <w:num w:numId="33">
    <w:abstractNumId w:val="27"/>
  </w:num>
  <w:num w:numId="34">
    <w:abstractNumId w:val="28"/>
  </w:num>
  <w:num w:numId="35">
    <w:abstractNumId w:val="23"/>
  </w:num>
  <w:num w:numId="36">
    <w:abstractNumId w:val="36"/>
  </w:num>
  <w:num w:numId="37">
    <w:abstractNumId w:val="22"/>
  </w:num>
  <w:num w:numId="38">
    <w:abstractNumId w:val="34"/>
  </w:num>
  <w:num w:numId="39">
    <w:abstractNumId w:val="39"/>
  </w:num>
  <w:num w:numId="4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122881">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CB1"/>
    <w:rsid w:val="000016BA"/>
    <w:rsid w:val="00001DB7"/>
    <w:rsid w:val="00002B14"/>
    <w:rsid w:val="00003647"/>
    <w:rsid w:val="0000388E"/>
    <w:rsid w:val="00004C5F"/>
    <w:rsid w:val="00005501"/>
    <w:rsid w:val="00005D60"/>
    <w:rsid w:val="000120E8"/>
    <w:rsid w:val="0001341B"/>
    <w:rsid w:val="00015827"/>
    <w:rsid w:val="0002009B"/>
    <w:rsid w:val="000205B8"/>
    <w:rsid w:val="000211C6"/>
    <w:rsid w:val="0002209D"/>
    <w:rsid w:val="00023000"/>
    <w:rsid w:val="000237CB"/>
    <w:rsid w:val="00025819"/>
    <w:rsid w:val="00026A9F"/>
    <w:rsid w:val="00031CD4"/>
    <w:rsid w:val="0003363F"/>
    <w:rsid w:val="000404BF"/>
    <w:rsid w:val="00041E11"/>
    <w:rsid w:val="000441B3"/>
    <w:rsid w:val="000448A4"/>
    <w:rsid w:val="00044FF2"/>
    <w:rsid w:val="0004609F"/>
    <w:rsid w:val="00050E0F"/>
    <w:rsid w:val="00054C03"/>
    <w:rsid w:val="00057B51"/>
    <w:rsid w:val="000701AB"/>
    <w:rsid w:val="00070876"/>
    <w:rsid w:val="0007407C"/>
    <w:rsid w:val="0007606B"/>
    <w:rsid w:val="00081E12"/>
    <w:rsid w:val="0008290E"/>
    <w:rsid w:val="00083512"/>
    <w:rsid w:val="0008360D"/>
    <w:rsid w:val="00084D4D"/>
    <w:rsid w:val="00085091"/>
    <w:rsid w:val="00091A62"/>
    <w:rsid w:val="00092756"/>
    <w:rsid w:val="0009438D"/>
    <w:rsid w:val="00095B45"/>
    <w:rsid w:val="00096369"/>
    <w:rsid w:val="000A09DB"/>
    <w:rsid w:val="000A1E1B"/>
    <w:rsid w:val="000A202E"/>
    <w:rsid w:val="000A3809"/>
    <w:rsid w:val="000A3BD2"/>
    <w:rsid w:val="000A571E"/>
    <w:rsid w:val="000A778B"/>
    <w:rsid w:val="000B002C"/>
    <w:rsid w:val="000B11F8"/>
    <w:rsid w:val="000B281E"/>
    <w:rsid w:val="000B29E0"/>
    <w:rsid w:val="000B51FA"/>
    <w:rsid w:val="000B6F0F"/>
    <w:rsid w:val="000C35EE"/>
    <w:rsid w:val="000C390F"/>
    <w:rsid w:val="000C58C2"/>
    <w:rsid w:val="000D00F6"/>
    <w:rsid w:val="000D15C8"/>
    <w:rsid w:val="000D1F39"/>
    <w:rsid w:val="000D22A8"/>
    <w:rsid w:val="000D2D80"/>
    <w:rsid w:val="000D3601"/>
    <w:rsid w:val="000D384B"/>
    <w:rsid w:val="000D4BF2"/>
    <w:rsid w:val="000E00B0"/>
    <w:rsid w:val="000E02B4"/>
    <w:rsid w:val="000E05E3"/>
    <w:rsid w:val="000E1A3D"/>
    <w:rsid w:val="000E3171"/>
    <w:rsid w:val="000E475F"/>
    <w:rsid w:val="000E4831"/>
    <w:rsid w:val="000E5450"/>
    <w:rsid w:val="000F12AA"/>
    <w:rsid w:val="000F2609"/>
    <w:rsid w:val="000F2763"/>
    <w:rsid w:val="000F2931"/>
    <w:rsid w:val="000F50B3"/>
    <w:rsid w:val="000F5D50"/>
    <w:rsid w:val="000F748D"/>
    <w:rsid w:val="001001D6"/>
    <w:rsid w:val="00101194"/>
    <w:rsid w:val="001021C4"/>
    <w:rsid w:val="001033DA"/>
    <w:rsid w:val="00111ECC"/>
    <w:rsid w:val="00112B05"/>
    <w:rsid w:val="00112D46"/>
    <w:rsid w:val="0011319E"/>
    <w:rsid w:val="00122701"/>
    <w:rsid w:val="001230E2"/>
    <w:rsid w:val="00124613"/>
    <w:rsid w:val="001248E1"/>
    <w:rsid w:val="00124FDC"/>
    <w:rsid w:val="001265CF"/>
    <w:rsid w:val="0013075A"/>
    <w:rsid w:val="00130793"/>
    <w:rsid w:val="00130D02"/>
    <w:rsid w:val="001314AB"/>
    <w:rsid w:val="001318F2"/>
    <w:rsid w:val="00131E3D"/>
    <w:rsid w:val="00132EBB"/>
    <w:rsid w:val="00133426"/>
    <w:rsid w:val="001356BF"/>
    <w:rsid w:val="001373D0"/>
    <w:rsid w:val="00140EB5"/>
    <w:rsid w:val="00141A2C"/>
    <w:rsid w:val="00142E26"/>
    <w:rsid w:val="00142FB1"/>
    <w:rsid w:val="001450DA"/>
    <w:rsid w:val="00145C7C"/>
    <w:rsid w:val="00147C02"/>
    <w:rsid w:val="00147CFE"/>
    <w:rsid w:val="0015063B"/>
    <w:rsid w:val="001513CD"/>
    <w:rsid w:val="00151735"/>
    <w:rsid w:val="0015378A"/>
    <w:rsid w:val="00153BDE"/>
    <w:rsid w:val="00153DEB"/>
    <w:rsid w:val="001540FB"/>
    <w:rsid w:val="00154FFB"/>
    <w:rsid w:val="00155727"/>
    <w:rsid w:val="001562D2"/>
    <w:rsid w:val="00157938"/>
    <w:rsid w:val="0016157E"/>
    <w:rsid w:val="00164374"/>
    <w:rsid w:val="00165163"/>
    <w:rsid w:val="00165283"/>
    <w:rsid w:val="0016768E"/>
    <w:rsid w:val="001701B4"/>
    <w:rsid w:val="0017059D"/>
    <w:rsid w:val="0017190D"/>
    <w:rsid w:val="00172142"/>
    <w:rsid w:val="00173663"/>
    <w:rsid w:val="00174280"/>
    <w:rsid w:val="00175707"/>
    <w:rsid w:val="001760F2"/>
    <w:rsid w:val="0017632B"/>
    <w:rsid w:val="00176F2E"/>
    <w:rsid w:val="0018066A"/>
    <w:rsid w:val="00185694"/>
    <w:rsid w:val="001859CA"/>
    <w:rsid w:val="001873E0"/>
    <w:rsid w:val="001A134C"/>
    <w:rsid w:val="001A1C77"/>
    <w:rsid w:val="001A3DE8"/>
    <w:rsid w:val="001A47C0"/>
    <w:rsid w:val="001A4C2E"/>
    <w:rsid w:val="001A55C8"/>
    <w:rsid w:val="001A5E75"/>
    <w:rsid w:val="001A5ECA"/>
    <w:rsid w:val="001A6319"/>
    <w:rsid w:val="001B540F"/>
    <w:rsid w:val="001B5633"/>
    <w:rsid w:val="001C1BD1"/>
    <w:rsid w:val="001C1C6F"/>
    <w:rsid w:val="001C2110"/>
    <w:rsid w:val="001C4CAF"/>
    <w:rsid w:val="001C7A1C"/>
    <w:rsid w:val="001D0CE5"/>
    <w:rsid w:val="001D163E"/>
    <w:rsid w:val="001D24BD"/>
    <w:rsid w:val="001D39F6"/>
    <w:rsid w:val="001D6C4E"/>
    <w:rsid w:val="001E175C"/>
    <w:rsid w:val="001E22B3"/>
    <w:rsid w:val="001E3125"/>
    <w:rsid w:val="001E417F"/>
    <w:rsid w:val="001E6005"/>
    <w:rsid w:val="001E7C51"/>
    <w:rsid w:val="001E7EF0"/>
    <w:rsid w:val="001F0530"/>
    <w:rsid w:val="001F0AA6"/>
    <w:rsid w:val="001F2C3A"/>
    <w:rsid w:val="001F36B4"/>
    <w:rsid w:val="001F73E9"/>
    <w:rsid w:val="002012A8"/>
    <w:rsid w:val="002012C2"/>
    <w:rsid w:val="002022B9"/>
    <w:rsid w:val="0020271F"/>
    <w:rsid w:val="002059DA"/>
    <w:rsid w:val="0021010B"/>
    <w:rsid w:val="00210D52"/>
    <w:rsid w:val="00211C9D"/>
    <w:rsid w:val="00212096"/>
    <w:rsid w:val="0021392C"/>
    <w:rsid w:val="00214801"/>
    <w:rsid w:val="00222D1E"/>
    <w:rsid w:val="0022383E"/>
    <w:rsid w:val="00224312"/>
    <w:rsid w:val="0022443C"/>
    <w:rsid w:val="002256E3"/>
    <w:rsid w:val="002262A5"/>
    <w:rsid w:val="002267A3"/>
    <w:rsid w:val="00227E9E"/>
    <w:rsid w:val="002303B9"/>
    <w:rsid w:val="002305D4"/>
    <w:rsid w:val="00231C93"/>
    <w:rsid w:val="00231E00"/>
    <w:rsid w:val="0023427F"/>
    <w:rsid w:val="002345FB"/>
    <w:rsid w:val="00241B5B"/>
    <w:rsid w:val="0024246B"/>
    <w:rsid w:val="002428CA"/>
    <w:rsid w:val="00243A45"/>
    <w:rsid w:val="00244420"/>
    <w:rsid w:val="00245B18"/>
    <w:rsid w:val="00247D4E"/>
    <w:rsid w:val="002533B1"/>
    <w:rsid w:val="00257164"/>
    <w:rsid w:val="002578B8"/>
    <w:rsid w:val="00261A20"/>
    <w:rsid w:val="00263DFF"/>
    <w:rsid w:val="00265DFC"/>
    <w:rsid w:val="0026678D"/>
    <w:rsid w:val="00267A41"/>
    <w:rsid w:val="00267E3B"/>
    <w:rsid w:val="00267F8F"/>
    <w:rsid w:val="002746B8"/>
    <w:rsid w:val="00275B89"/>
    <w:rsid w:val="00275BC5"/>
    <w:rsid w:val="00281DD8"/>
    <w:rsid w:val="002822BA"/>
    <w:rsid w:val="00282A88"/>
    <w:rsid w:val="00283C71"/>
    <w:rsid w:val="00290320"/>
    <w:rsid w:val="00290F56"/>
    <w:rsid w:val="002918E8"/>
    <w:rsid w:val="00291D41"/>
    <w:rsid w:val="0029500B"/>
    <w:rsid w:val="00297702"/>
    <w:rsid w:val="002A0203"/>
    <w:rsid w:val="002A0CF8"/>
    <w:rsid w:val="002A18D1"/>
    <w:rsid w:val="002A1E91"/>
    <w:rsid w:val="002A28D9"/>
    <w:rsid w:val="002A2C0D"/>
    <w:rsid w:val="002A3292"/>
    <w:rsid w:val="002A351D"/>
    <w:rsid w:val="002A3703"/>
    <w:rsid w:val="002A6DE2"/>
    <w:rsid w:val="002A73B9"/>
    <w:rsid w:val="002B0172"/>
    <w:rsid w:val="002B35AA"/>
    <w:rsid w:val="002B509D"/>
    <w:rsid w:val="002B6FC4"/>
    <w:rsid w:val="002B6FE9"/>
    <w:rsid w:val="002C1E34"/>
    <w:rsid w:val="002C2E75"/>
    <w:rsid w:val="002C4196"/>
    <w:rsid w:val="002D042D"/>
    <w:rsid w:val="002D05B4"/>
    <w:rsid w:val="002D09C5"/>
    <w:rsid w:val="002D24CB"/>
    <w:rsid w:val="002D4C3D"/>
    <w:rsid w:val="002D5781"/>
    <w:rsid w:val="002D637D"/>
    <w:rsid w:val="002D71FE"/>
    <w:rsid w:val="002D7921"/>
    <w:rsid w:val="002E0CED"/>
    <w:rsid w:val="002E1C05"/>
    <w:rsid w:val="002E5340"/>
    <w:rsid w:val="002E5C88"/>
    <w:rsid w:val="002E65B7"/>
    <w:rsid w:val="002E6689"/>
    <w:rsid w:val="002F0530"/>
    <w:rsid w:val="002F3210"/>
    <w:rsid w:val="002F364A"/>
    <w:rsid w:val="002F4AF1"/>
    <w:rsid w:val="002F5836"/>
    <w:rsid w:val="002F60DB"/>
    <w:rsid w:val="003006E7"/>
    <w:rsid w:val="00300E34"/>
    <w:rsid w:val="00301F95"/>
    <w:rsid w:val="003059E8"/>
    <w:rsid w:val="00307077"/>
    <w:rsid w:val="003071F8"/>
    <w:rsid w:val="00313657"/>
    <w:rsid w:val="00316D5A"/>
    <w:rsid w:val="00317328"/>
    <w:rsid w:val="00321030"/>
    <w:rsid w:val="003218D4"/>
    <w:rsid w:val="003219F2"/>
    <w:rsid w:val="0032276D"/>
    <w:rsid w:val="0032298A"/>
    <w:rsid w:val="00323880"/>
    <w:rsid w:val="003239DF"/>
    <w:rsid w:val="00324827"/>
    <w:rsid w:val="00325446"/>
    <w:rsid w:val="00325737"/>
    <w:rsid w:val="00325CF6"/>
    <w:rsid w:val="00326867"/>
    <w:rsid w:val="0032743B"/>
    <w:rsid w:val="00327570"/>
    <w:rsid w:val="003313D0"/>
    <w:rsid w:val="003321F2"/>
    <w:rsid w:val="003332FC"/>
    <w:rsid w:val="003340DC"/>
    <w:rsid w:val="003348C9"/>
    <w:rsid w:val="003350AF"/>
    <w:rsid w:val="00340774"/>
    <w:rsid w:val="003416CE"/>
    <w:rsid w:val="0034334E"/>
    <w:rsid w:val="00343695"/>
    <w:rsid w:val="00345B66"/>
    <w:rsid w:val="003461DA"/>
    <w:rsid w:val="00347234"/>
    <w:rsid w:val="00350F56"/>
    <w:rsid w:val="00352C6F"/>
    <w:rsid w:val="00355458"/>
    <w:rsid w:val="00356EED"/>
    <w:rsid w:val="003626CB"/>
    <w:rsid w:val="00362FCA"/>
    <w:rsid w:val="00363A3A"/>
    <w:rsid w:val="00364241"/>
    <w:rsid w:val="00364D69"/>
    <w:rsid w:val="00364ED3"/>
    <w:rsid w:val="00365603"/>
    <w:rsid w:val="00365825"/>
    <w:rsid w:val="0036630C"/>
    <w:rsid w:val="00366317"/>
    <w:rsid w:val="0037393E"/>
    <w:rsid w:val="003866A4"/>
    <w:rsid w:val="00386B6C"/>
    <w:rsid w:val="00386E22"/>
    <w:rsid w:val="003875B6"/>
    <w:rsid w:val="0039080E"/>
    <w:rsid w:val="003908B6"/>
    <w:rsid w:val="0039333E"/>
    <w:rsid w:val="00394975"/>
    <w:rsid w:val="00394BBA"/>
    <w:rsid w:val="0039786E"/>
    <w:rsid w:val="003979D0"/>
    <w:rsid w:val="003A1659"/>
    <w:rsid w:val="003A3FCE"/>
    <w:rsid w:val="003A55F8"/>
    <w:rsid w:val="003A58CB"/>
    <w:rsid w:val="003A7DCB"/>
    <w:rsid w:val="003B0C73"/>
    <w:rsid w:val="003B38A7"/>
    <w:rsid w:val="003B42D1"/>
    <w:rsid w:val="003B43D1"/>
    <w:rsid w:val="003B6078"/>
    <w:rsid w:val="003B6681"/>
    <w:rsid w:val="003B6C18"/>
    <w:rsid w:val="003B77BD"/>
    <w:rsid w:val="003C07E2"/>
    <w:rsid w:val="003C0C55"/>
    <w:rsid w:val="003C35E9"/>
    <w:rsid w:val="003C5D0D"/>
    <w:rsid w:val="003C78FD"/>
    <w:rsid w:val="003C795B"/>
    <w:rsid w:val="003D1166"/>
    <w:rsid w:val="003D2899"/>
    <w:rsid w:val="003D4B91"/>
    <w:rsid w:val="003D4FBB"/>
    <w:rsid w:val="003D610E"/>
    <w:rsid w:val="003D7663"/>
    <w:rsid w:val="003D7BDC"/>
    <w:rsid w:val="003E1CEE"/>
    <w:rsid w:val="003E3D87"/>
    <w:rsid w:val="003E4C50"/>
    <w:rsid w:val="003E4EB1"/>
    <w:rsid w:val="003E743D"/>
    <w:rsid w:val="003F03C5"/>
    <w:rsid w:val="003F0E62"/>
    <w:rsid w:val="003F21BD"/>
    <w:rsid w:val="003F35F7"/>
    <w:rsid w:val="003F4521"/>
    <w:rsid w:val="003F55B6"/>
    <w:rsid w:val="00405273"/>
    <w:rsid w:val="00405959"/>
    <w:rsid w:val="00410414"/>
    <w:rsid w:val="00410E27"/>
    <w:rsid w:val="00411EAC"/>
    <w:rsid w:val="004131D7"/>
    <w:rsid w:val="00421596"/>
    <w:rsid w:val="00424E57"/>
    <w:rsid w:val="0042503D"/>
    <w:rsid w:val="00426D32"/>
    <w:rsid w:val="00430C9E"/>
    <w:rsid w:val="0043297A"/>
    <w:rsid w:val="00435847"/>
    <w:rsid w:val="00435FCF"/>
    <w:rsid w:val="00436341"/>
    <w:rsid w:val="004421CE"/>
    <w:rsid w:val="00442270"/>
    <w:rsid w:val="00442FAC"/>
    <w:rsid w:val="004439D4"/>
    <w:rsid w:val="00443CD3"/>
    <w:rsid w:val="0044464F"/>
    <w:rsid w:val="00447F80"/>
    <w:rsid w:val="00451501"/>
    <w:rsid w:val="00451CE6"/>
    <w:rsid w:val="004532BC"/>
    <w:rsid w:val="004533FD"/>
    <w:rsid w:val="0045628C"/>
    <w:rsid w:val="00460B9A"/>
    <w:rsid w:val="00463DE0"/>
    <w:rsid w:val="004649FE"/>
    <w:rsid w:val="004671DA"/>
    <w:rsid w:val="004672AC"/>
    <w:rsid w:val="0046768B"/>
    <w:rsid w:val="004707FF"/>
    <w:rsid w:val="004715BD"/>
    <w:rsid w:val="00472A0F"/>
    <w:rsid w:val="00472C37"/>
    <w:rsid w:val="00474921"/>
    <w:rsid w:val="00485432"/>
    <w:rsid w:val="00485C1C"/>
    <w:rsid w:val="004861DC"/>
    <w:rsid w:val="00487350"/>
    <w:rsid w:val="00490507"/>
    <w:rsid w:val="00492645"/>
    <w:rsid w:val="00492941"/>
    <w:rsid w:val="00495B01"/>
    <w:rsid w:val="004A07B6"/>
    <w:rsid w:val="004A4F18"/>
    <w:rsid w:val="004A5AE0"/>
    <w:rsid w:val="004A5CF8"/>
    <w:rsid w:val="004A6CE9"/>
    <w:rsid w:val="004B1B7A"/>
    <w:rsid w:val="004B573E"/>
    <w:rsid w:val="004C22BB"/>
    <w:rsid w:val="004C2626"/>
    <w:rsid w:val="004C6828"/>
    <w:rsid w:val="004C6D02"/>
    <w:rsid w:val="004C72EC"/>
    <w:rsid w:val="004C7E2C"/>
    <w:rsid w:val="004D07A3"/>
    <w:rsid w:val="004D0F2F"/>
    <w:rsid w:val="004D4BCB"/>
    <w:rsid w:val="004E0591"/>
    <w:rsid w:val="004E2AC4"/>
    <w:rsid w:val="004E3926"/>
    <w:rsid w:val="004F0DA9"/>
    <w:rsid w:val="004F243C"/>
    <w:rsid w:val="004F4F4A"/>
    <w:rsid w:val="004F589C"/>
    <w:rsid w:val="004F7221"/>
    <w:rsid w:val="004F793C"/>
    <w:rsid w:val="005001EC"/>
    <w:rsid w:val="005030EA"/>
    <w:rsid w:val="005059F8"/>
    <w:rsid w:val="00506E45"/>
    <w:rsid w:val="005107F5"/>
    <w:rsid w:val="00510A25"/>
    <w:rsid w:val="00510FA4"/>
    <w:rsid w:val="00511019"/>
    <w:rsid w:val="00511F5D"/>
    <w:rsid w:val="00514B18"/>
    <w:rsid w:val="00516099"/>
    <w:rsid w:val="0051670A"/>
    <w:rsid w:val="00516FCA"/>
    <w:rsid w:val="00520EBD"/>
    <w:rsid w:val="00522A45"/>
    <w:rsid w:val="00522AEC"/>
    <w:rsid w:val="00522CA2"/>
    <w:rsid w:val="00527DEB"/>
    <w:rsid w:val="00531F2A"/>
    <w:rsid w:val="005331E8"/>
    <w:rsid w:val="00533982"/>
    <w:rsid w:val="00534553"/>
    <w:rsid w:val="00535451"/>
    <w:rsid w:val="005360E5"/>
    <w:rsid w:val="005401B6"/>
    <w:rsid w:val="0054261B"/>
    <w:rsid w:val="0054272A"/>
    <w:rsid w:val="005451B7"/>
    <w:rsid w:val="0054686B"/>
    <w:rsid w:val="00552F96"/>
    <w:rsid w:val="00553EFD"/>
    <w:rsid w:val="00554019"/>
    <w:rsid w:val="005602EE"/>
    <w:rsid w:val="00561177"/>
    <w:rsid w:val="00562427"/>
    <w:rsid w:val="0056243B"/>
    <w:rsid w:val="00565DF7"/>
    <w:rsid w:val="00566CCD"/>
    <w:rsid w:val="005672F2"/>
    <w:rsid w:val="005703D9"/>
    <w:rsid w:val="00570C8B"/>
    <w:rsid w:val="00571136"/>
    <w:rsid w:val="0057307C"/>
    <w:rsid w:val="005734D4"/>
    <w:rsid w:val="005802F2"/>
    <w:rsid w:val="00580887"/>
    <w:rsid w:val="005837F4"/>
    <w:rsid w:val="00591F1A"/>
    <w:rsid w:val="00592D07"/>
    <w:rsid w:val="00593CCA"/>
    <w:rsid w:val="00594064"/>
    <w:rsid w:val="00594228"/>
    <w:rsid w:val="00596920"/>
    <w:rsid w:val="005A3396"/>
    <w:rsid w:val="005A3514"/>
    <w:rsid w:val="005A3A16"/>
    <w:rsid w:val="005A4493"/>
    <w:rsid w:val="005A536F"/>
    <w:rsid w:val="005A5FDD"/>
    <w:rsid w:val="005A6BE8"/>
    <w:rsid w:val="005A7474"/>
    <w:rsid w:val="005B0E0C"/>
    <w:rsid w:val="005B458D"/>
    <w:rsid w:val="005B483D"/>
    <w:rsid w:val="005B50C0"/>
    <w:rsid w:val="005B7686"/>
    <w:rsid w:val="005C0077"/>
    <w:rsid w:val="005C14AC"/>
    <w:rsid w:val="005C1D50"/>
    <w:rsid w:val="005C2638"/>
    <w:rsid w:val="005C38AB"/>
    <w:rsid w:val="005C49E0"/>
    <w:rsid w:val="005C5693"/>
    <w:rsid w:val="005C7EF9"/>
    <w:rsid w:val="005D0F87"/>
    <w:rsid w:val="005D6709"/>
    <w:rsid w:val="005D7DDA"/>
    <w:rsid w:val="005E3610"/>
    <w:rsid w:val="005E40F4"/>
    <w:rsid w:val="005E4B20"/>
    <w:rsid w:val="005E5A5C"/>
    <w:rsid w:val="005E6D70"/>
    <w:rsid w:val="005E7A5D"/>
    <w:rsid w:val="005F0A9A"/>
    <w:rsid w:val="005F1F42"/>
    <w:rsid w:val="005F2A49"/>
    <w:rsid w:val="005F5818"/>
    <w:rsid w:val="0060024B"/>
    <w:rsid w:val="006020A0"/>
    <w:rsid w:val="00602D56"/>
    <w:rsid w:val="00603392"/>
    <w:rsid w:val="006050AF"/>
    <w:rsid w:val="00606AFF"/>
    <w:rsid w:val="006109CF"/>
    <w:rsid w:val="0061106D"/>
    <w:rsid w:val="00611480"/>
    <w:rsid w:val="0061204C"/>
    <w:rsid w:val="00614E23"/>
    <w:rsid w:val="0061603E"/>
    <w:rsid w:val="006167C1"/>
    <w:rsid w:val="00616C35"/>
    <w:rsid w:val="006208E7"/>
    <w:rsid w:val="0062134E"/>
    <w:rsid w:val="006222BB"/>
    <w:rsid w:val="006226CB"/>
    <w:rsid w:val="00623B75"/>
    <w:rsid w:val="00623FA1"/>
    <w:rsid w:val="00631B3A"/>
    <w:rsid w:val="0063306E"/>
    <w:rsid w:val="0063358D"/>
    <w:rsid w:val="00634E3F"/>
    <w:rsid w:val="006377F0"/>
    <w:rsid w:val="00637DDF"/>
    <w:rsid w:val="00641054"/>
    <w:rsid w:val="00642CD8"/>
    <w:rsid w:val="00644EA5"/>
    <w:rsid w:val="00650336"/>
    <w:rsid w:val="00654564"/>
    <w:rsid w:val="006549D3"/>
    <w:rsid w:val="00656055"/>
    <w:rsid w:val="00656D23"/>
    <w:rsid w:val="006573DF"/>
    <w:rsid w:val="00657CE1"/>
    <w:rsid w:val="00657E34"/>
    <w:rsid w:val="00662539"/>
    <w:rsid w:val="00663E2A"/>
    <w:rsid w:val="00667914"/>
    <w:rsid w:val="00671323"/>
    <w:rsid w:val="00674356"/>
    <w:rsid w:val="00675165"/>
    <w:rsid w:val="00675B77"/>
    <w:rsid w:val="0067629B"/>
    <w:rsid w:val="006803D3"/>
    <w:rsid w:val="00683379"/>
    <w:rsid w:val="00684B24"/>
    <w:rsid w:val="00685573"/>
    <w:rsid w:val="006878FF"/>
    <w:rsid w:val="006906C0"/>
    <w:rsid w:val="006908CE"/>
    <w:rsid w:val="00692A2A"/>
    <w:rsid w:val="006942D8"/>
    <w:rsid w:val="00696293"/>
    <w:rsid w:val="00697E05"/>
    <w:rsid w:val="006A3CC4"/>
    <w:rsid w:val="006A4027"/>
    <w:rsid w:val="006A567C"/>
    <w:rsid w:val="006A6193"/>
    <w:rsid w:val="006A7810"/>
    <w:rsid w:val="006B1F53"/>
    <w:rsid w:val="006B33CF"/>
    <w:rsid w:val="006B3EF4"/>
    <w:rsid w:val="006B65FC"/>
    <w:rsid w:val="006C210D"/>
    <w:rsid w:val="006C4BA0"/>
    <w:rsid w:val="006C4EAD"/>
    <w:rsid w:val="006C4F7E"/>
    <w:rsid w:val="006C7B81"/>
    <w:rsid w:val="006C7F27"/>
    <w:rsid w:val="006D1BF2"/>
    <w:rsid w:val="006D281F"/>
    <w:rsid w:val="006D5E1C"/>
    <w:rsid w:val="006D7BB1"/>
    <w:rsid w:val="006E1B23"/>
    <w:rsid w:val="006E286D"/>
    <w:rsid w:val="006E349B"/>
    <w:rsid w:val="006E6344"/>
    <w:rsid w:val="006F2CC4"/>
    <w:rsid w:val="006F2DE0"/>
    <w:rsid w:val="006F4002"/>
    <w:rsid w:val="007014A1"/>
    <w:rsid w:val="007018E8"/>
    <w:rsid w:val="00705FAF"/>
    <w:rsid w:val="00710F67"/>
    <w:rsid w:val="00711810"/>
    <w:rsid w:val="00713795"/>
    <w:rsid w:val="00716937"/>
    <w:rsid w:val="00717052"/>
    <w:rsid w:val="0072236B"/>
    <w:rsid w:val="0072248E"/>
    <w:rsid w:val="007234A8"/>
    <w:rsid w:val="00724DE9"/>
    <w:rsid w:val="00726AF7"/>
    <w:rsid w:val="00730B2B"/>
    <w:rsid w:val="00733980"/>
    <w:rsid w:val="0073535C"/>
    <w:rsid w:val="00736579"/>
    <w:rsid w:val="007367F4"/>
    <w:rsid w:val="00737491"/>
    <w:rsid w:val="007423F7"/>
    <w:rsid w:val="00744ED3"/>
    <w:rsid w:val="00745B0F"/>
    <w:rsid w:val="007468E3"/>
    <w:rsid w:val="0075367A"/>
    <w:rsid w:val="00753FFD"/>
    <w:rsid w:val="00760CD7"/>
    <w:rsid w:val="0076182A"/>
    <w:rsid w:val="00761D40"/>
    <w:rsid w:val="00761E4C"/>
    <w:rsid w:val="0076207A"/>
    <w:rsid w:val="00762680"/>
    <w:rsid w:val="00763CFF"/>
    <w:rsid w:val="00763FC1"/>
    <w:rsid w:val="007678E5"/>
    <w:rsid w:val="007702A9"/>
    <w:rsid w:val="00770A24"/>
    <w:rsid w:val="00770CBB"/>
    <w:rsid w:val="007712F3"/>
    <w:rsid w:val="00772764"/>
    <w:rsid w:val="0077327C"/>
    <w:rsid w:val="0077399D"/>
    <w:rsid w:val="00773AFE"/>
    <w:rsid w:val="00775EA2"/>
    <w:rsid w:val="00782BD5"/>
    <w:rsid w:val="00782E0A"/>
    <w:rsid w:val="00784105"/>
    <w:rsid w:val="0078449D"/>
    <w:rsid w:val="00784BFA"/>
    <w:rsid w:val="00785E83"/>
    <w:rsid w:val="007871E4"/>
    <w:rsid w:val="00787808"/>
    <w:rsid w:val="00790200"/>
    <w:rsid w:val="00791B0A"/>
    <w:rsid w:val="007926B0"/>
    <w:rsid w:val="00793ED7"/>
    <w:rsid w:val="00795732"/>
    <w:rsid w:val="00796B4C"/>
    <w:rsid w:val="00797100"/>
    <w:rsid w:val="007976DA"/>
    <w:rsid w:val="007A2075"/>
    <w:rsid w:val="007A3E04"/>
    <w:rsid w:val="007A3EA8"/>
    <w:rsid w:val="007A5B10"/>
    <w:rsid w:val="007A5DF9"/>
    <w:rsid w:val="007A7D0A"/>
    <w:rsid w:val="007A7DEC"/>
    <w:rsid w:val="007B2036"/>
    <w:rsid w:val="007B5C1B"/>
    <w:rsid w:val="007B6604"/>
    <w:rsid w:val="007B6838"/>
    <w:rsid w:val="007C126F"/>
    <w:rsid w:val="007C2D50"/>
    <w:rsid w:val="007C479E"/>
    <w:rsid w:val="007C4FA3"/>
    <w:rsid w:val="007C580E"/>
    <w:rsid w:val="007C6B28"/>
    <w:rsid w:val="007D0B10"/>
    <w:rsid w:val="007D70C1"/>
    <w:rsid w:val="007E1CBA"/>
    <w:rsid w:val="007E1FED"/>
    <w:rsid w:val="007E221D"/>
    <w:rsid w:val="007E5502"/>
    <w:rsid w:val="007E6352"/>
    <w:rsid w:val="007E778D"/>
    <w:rsid w:val="007F0E6B"/>
    <w:rsid w:val="007F158D"/>
    <w:rsid w:val="007F1BE2"/>
    <w:rsid w:val="007F2176"/>
    <w:rsid w:val="007F2790"/>
    <w:rsid w:val="007F4E7D"/>
    <w:rsid w:val="007F58E7"/>
    <w:rsid w:val="007F6AD0"/>
    <w:rsid w:val="00800270"/>
    <w:rsid w:val="00806CFD"/>
    <w:rsid w:val="00811B44"/>
    <w:rsid w:val="00813CEC"/>
    <w:rsid w:val="00814640"/>
    <w:rsid w:val="00815238"/>
    <w:rsid w:val="00815933"/>
    <w:rsid w:val="00816112"/>
    <w:rsid w:val="00817D25"/>
    <w:rsid w:val="008201E5"/>
    <w:rsid w:val="00820838"/>
    <w:rsid w:val="0082179E"/>
    <w:rsid w:val="00821C3E"/>
    <w:rsid w:val="008242DA"/>
    <w:rsid w:val="00824732"/>
    <w:rsid w:val="0082501A"/>
    <w:rsid w:val="00825E49"/>
    <w:rsid w:val="00826EA6"/>
    <w:rsid w:val="0083075F"/>
    <w:rsid w:val="008308E2"/>
    <w:rsid w:val="008334E2"/>
    <w:rsid w:val="00833CDF"/>
    <w:rsid w:val="00834ECA"/>
    <w:rsid w:val="00835168"/>
    <w:rsid w:val="00835636"/>
    <w:rsid w:val="00841048"/>
    <w:rsid w:val="00841E4A"/>
    <w:rsid w:val="00841E79"/>
    <w:rsid w:val="00842A08"/>
    <w:rsid w:val="00843693"/>
    <w:rsid w:val="00843FA3"/>
    <w:rsid w:val="00846066"/>
    <w:rsid w:val="00846AEA"/>
    <w:rsid w:val="00846DAF"/>
    <w:rsid w:val="00847591"/>
    <w:rsid w:val="00850008"/>
    <w:rsid w:val="00850238"/>
    <w:rsid w:val="00850823"/>
    <w:rsid w:val="008519DA"/>
    <w:rsid w:val="00852C0B"/>
    <w:rsid w:val="00853B6D"/>
    <w:rsid w:val="008544A3"/>
    <w:rsid w:val="008566C1"/>
    <w:rsid w:val="00857F53"/>
    <w:rsid w:val="0086328E"/>
    <w:rsid w:val="008660EF"/>
    <w:rsid w:val="00867701"/>
    <w:rsid w:val="00867C98"/>
    <w:rsid w:val="00867F0D"/>
    <w:rsid w:val="008707EB"/>
    <w:rsid w:val="0087120B"/>
    <w:rsid w:val="00874FCD"/>
    <w:rsid w:val="008758B9"/>
    <w:rsid w:val="00876B26"/>
    <w:rsid w:val="00876C85"/>
    <w:rsid w:val="00880A65"/>
    <w:rsid w:val="0088444B"/>
    <w:rsid w:val="008865DD"/>
    <w:rsid w:val="00886A5B"/>
    <w:rsid w:val="00887C6E"/>
    <w:rsid w:val="0089452B"/>
    <w:rsid w:val="008A16E4"/>
    <w:rsid w:val="008A1889"/>
    <w:rsid w:val="008A18BE"/>
    <w:rsid w:val="008A301D"/>
    <w:rsid w:val="008A69C1"/>
    <w:rsid w:val="008B105C"/>
    <w:rsid w:val="008B1FD7"/>
    <w:rsid w:val="008B2504"/>
    <w:rsid w:val="008B3812"/>
    <w:rsid w:val="008B400F"/>
    <w:rsid w:val="008B4BAB"/>
    <w:rsid w:val="008B4F66"/>
    <w:rsid w:val="008B63B8"/>
    <w:rsid w:val="008B7432"/>
    <w:rsid w:val="008C0085"/>
    <w:rsid w:val="008C0177"/>
    <w:rsid w:val="008C12D0"/>
    <w:rsid w:val="008C21E6"/>
    <w:rsid w:val="008C31A8"/>
    <w:rsid w:val="008C335A"/>
    <w:rsid w:val="008C3748"/>
    <w:rsid w:val="008C4E81"/>
    <w:rsid w:val="008C603C"/>
    <w:rsid w:val="008C65BD"/>
    <w:rsid w:val="008D1271"/>
    <w:rsid w:val="008D18C2"/>
    <w:rsid w:val="008D4B18"/>
    <w:rsid w:val="008D4FF6"/>
    <w:rsid w:val="008D5152"/>
    <w:rsid w:val="008D60CF"/>
    <w:rsid w:val="008D68F5"/>
    <w:rsid w:val="008D6E36"/>
    <w:rsid w:val="008D6F3B"/>
    <w:rsid w:val="008E11C5"/>
    <w:rsid w:val="008E4130"/>
    <w:rsid w:val="008E4F88"/>
    <w:rsid w:val="008E50BB"/>
    <w:rsid w:val="008E5502"/>
    <w:rsid w:val="008E5BD1"/>
    <w:rsid w:val="008E697B"/>
    <w:rsid w:val="008E7290"/>
    <w:rsid w:val="008F279B"/>
    <w:rsid w:val="008F44ED"/>
    <w:rsid w:val="008F4FB2"/>
    <w:rsid w:val="008F67E4"/>
    <w:rsid w:val="008F6DAA"/>
    <w:rsid w:val="008F6EFB"/>
    <w:rsid w:val="00900343"/>
    <w:rsid w:val="00900BA3"/>
    <w:rsid w:val="009028CB"/>
    <w:rsid w:val="00902AC0"/>
    <w:rsid w:val="00904B4A"/>
    <w:rsid w:val="009061F7"/>
    <w:rsid w:val="009067BE"/>
    <w:rsid w:val="00907917"/>
    <w:rsid w:val="00914EC4"/>
    <w:rsid w:val="00917036"/>
    <w:rsid w:val="00917301"/>
    <w:rsid w:val="009177CF"/>
    <w:rsid w:val="00920F5E"/>
    <w:rsid w:val="009232BC"/>
    <w:rsid w:val="0092413A"/>
    <w:rsid w:val="009242B9"/>
    <w:rsid w:val="00926AF1"/>
    <w:rsid w:val="00932A59"/>
    <w:rsid w:val="00932C3B"/>
    <w:rsid w:val="00932C90"/>
    <w:rsid w:val="009337DD"/>
    <w:rsid w:val="009343D3"/>
    <w:rsid w:val="00935E18"/>
    <w:rsid w:val="009370DF"/>
    <w:rsid w:val="00937EE0"/>
    <w:rsid w:val="00942AF1"/>
    <w:rsid w:val="00942BC2"/>
    <w:rsid w:val="00944150"/>
    <w:rsid w:val="00944389"/>
    <w:rsid w:val="009459FC"/>
    <w:rsid w:val="00945A94"/>
    <w:rsid w:val="00946687"/>
    <w:rsid w:val="00947954"/>
    <w:rsid w:val="00951032"/>
    <w:rsid w:val="00953E3D"/>
    <w:rsid w:val="00954D99"/>
    <w:rsid w:val="009554C0"/>
    <w:rsid w:val="00961639"/>
    <w:rsid w:val="00962629"/>
    <w:rsid w:val="009632D9"/>
    <w:rsid w:val="0096401E"/>
    <w:rsid w:val="009652E6"/>
    <w:rsid w:val="00966573"/>
    <w:rsid w:val="009677B6"/>
    <w:rsid w:val="00971041"/>
    <w:rsid w:val="0097747C"/>
    <w:rsid w:val="00980C35"/>
    <w:rsid w:val="009837B1"/>
    <w:rsid w:val="00991C0D"/>
    <w:rsid w:val="009944F0"/>
    <w:rsid w:val="00994E2D"/>
    <w:rsid w:val="00996E68"/>
    <w:rsid w:val="009974F8"/>
    <w:rsid w:val="009A0AA5"/>
    <w:rsid w:val="009A1BDA"/>
    <w:rsid w:val="009A1F09"/>
    <w:rsid w:val="009A4199"/>
    <w:rsid w:val="009A45BC"/>
    <w:rsid w:val="009A49D9"/>
    <w:rsid w:val="009A55BF"/>
    <w:rsid w:val="009A57B6"/>
    <w:rsid w:val="009A5DE2"/>
    <w:rsid w:val="009A75A9"/>
    <w:rsid w:val="009B1C43"/>
    <w:rsid w:val="009B24AD"/>
    <w:rsid w:val="009B36E3"/>
    <w:rsid w:val="009B4F76"/>
    <w:rsid w:val="009C0024"/>
    <w:rsid w:val="009C0A9F"/>
    <w:rsid w:val="009C1250"/>
    <w:rsid w:val="009C2DEC"/>
    <w:rsid w:val="009C307C"/>
    <w:rsid w:val="009C33F5"/>
    <w:rsid w:val="009C4325"/>
    <w:rsid w:val="009C449A"/>
    <w:rsid w:val="009C4C42"/>
    <w:rsid w:val="009C4EBA"/>
    <w:rsid w:val="009C760E"/>
    <w:rsid w:val="009D306C"/>
    <w:rsid w:val="009D41CB"/>
    <w:rsid w:val="009D4341"/>
    <w:rsid w:val="009D634A"/>
    <w:rsid w:val="009D6EAC"/>
    <w:rsid w:val="009E3DD1"/>
    <w:rsid w:val="009E6314"/>
    <w:rsid w:val="009E65C2"/>
    <w:rsid w:val="009E7327"/>
    <w:rsid w:val="009E7619"/>
    <w:rsid w:val="009F087F"/>
    <w:rsid w:val="009F22F6"/>
    <w:rsid w:val="009F3D47"/>
    <w:rsid w:val="009F4CEB"/>
    <w:rsid w:val="009F4D59"/>
    <w:rsid w:val="009F6553"/>
    <w:rsid w:val="009F6B07"/>
    <w:rsid w:val="009F72F9"/>
    <w:rsid w:val="00A00174"/>
    <w:rsid w:val="00A016B1"/>
    <w:rsid w:val="00A01D19"/>
    <w:rsid w:val="00A01F63"/>
    <w:rsid w:val="00A0563B"/>
    <w:rsid w:val="00A05E97"/>
    <w:rsid w:val="00A064CA"/>
    <w:rsid w:val="00A06801"/>
    <w:rsid w:val="00A07590"/>
    <w:rsid w:val="00A07B04"/>
    <w:rsid w:val="00A07CC6"/>
    <w:rsid w:val="00A12C54"/>
    <w:rsid w:val="00A130FF"/>
    <w:rsid w:val="00A13281"/>
    <w:rsid w:val="00A14832"/>
    <w:rsid w:val="00A14DB1"/>
    <w:rsid w:val="00A15239"/>
    <w:rsid w:val="00A1541A"/>
    <w:rsid w:val="00A16641"/>
    <w:rsid w:val="00A16AAB"/>
    <w:rsid w:val="00A20757"/>
    <w:rsid w:val="00A22567"/>
    <w:rsid w:val="00A22D4C"/>
    <w:rsid w:val="00A248E4"/>
    <w:rsid w:val="00A25C37"/>
    <w:rsid w:val="00A26ED3"/>
    <w:rsid w:val="00A31B9F"/>
    <w:rsid w:val="00A31E3E"/>
    <w:rsid w:val="00A32770"/>
    <w:rsid w:val="00A33695"/>
    <w:rsid w:val="00A33DBA"/>
    <w:rsid w:val="00A409DD"/>
    <w:rsid w:val="00A40E7B"/>
    <w:rsid w:val="00A4276E"/>
    <w:rsid w:val="00A43A8C"/>
    <w:rsid w:val="00A45169"/>
    <w:rsid w:val="00A476D5"/>
    <w:rsid w:val="00A50D4E"/>
    <w:rsid w:val="00A5127C"/>
    <w:rsid w:val="00A52CE1"/>
    <w:rsid w:val="00A53AE1"/>
    <w:rsid w:val="00A53B2B"/>
    <w:rsid w:val="00A53B8F"/>
    <w:rsid w:val="00A53BA2"/>
    <w:rsid w:val="00A54AD7"/>
    <w:rsid w:val="00A55069"/>
    <w:rsid w:val="00A5559E"/>
    <w:rsid w:val="00A55927"/>
    <w:rsid w:val="00A63984"/>
    <w:rsid w:val="00A64965"/>
    <w:rsid w:val="00A64CC1"/>
    <w:rsid w:val="00A64EFD"/>
    <w:rsid w:val="00A6521C"/>
    <w:rsid w:val="00A67398"/>
    <w:rsid w:val="00A703E6"/>
    <w:rsid w:val="00A71A54"/>
    <w:rsid w:val="00A71B89"/>
    <w:rsid w:val="00A74040"/>
    <w:rsid w:val="00A742E7"/>
    <w:rsid w:val="00A75E7D"/>
    <w:rsid w:val="00A76229"/>
    <w:rsid w:val="00A80EC4"/>
    <w:rsid w:val="00A814A4"/>
    <w:rsid w:val="00A8727C"/>
    <w:rsid w:val="00A87D18"/>
    <w:rsid w:val="00A90C2E"/>
    <w:rsid w:val="00A913E7"/>
    <w:rsid w:val="00A9140F"/>
    <w:rsid w:val="00A9462E"/>
    <w:rsid w:val="00A972C8"/>
    <w:rsid w:val="00AA0728"/>
    <w:rsid w:val="00AA31EA"/>
    <w:rsid w:val="00AA3323"/>
    <w:rsid w:val="00AA5DB1"/>
    <w:rsid w:val="00AA76AE"/>
    <w:rsid w:val="00AB0570"/>
    <w:rsid w:val="00AB11FD"/>
    <w:rsid w:val="00AB4059"/>
    <w:rsid w:val="00AB4388"/>
    <w:rsid w:val="00AB5928"/>
    <w:rsid w:val="00AB5CBE"/>
    <w:rsid w:val="00AB639B"/>
    <w:rsid w:val="00AC1104"/>
    <w:rsid w:val="00AC24DC"/>
    <w:rsid w:val="00AC2986"/>
    <w:rsid w:val="00AC5F2E"/>
    <w:rsid w:val="00AC63E3"/>
    <w:rsid w:val="00AC729D"/>
    <w:rsid w:val="00AD163D"/>
    <w:rsid w:val="00AD491B"/>
    <w:rsid w:val="00AE0B1C"/>
    <w:rsid w:val="00AE216F"/>
    <w:rsid w:val="00AE22F5"/>
    <w:rsid w:val="00AE2C93"/>
    <w:rsid w:val="00AE3ED1"/>
    <w:rsid w:val="00AE476B"/>
    <w:rsid w:val="00AE50AD"/>
    <w:rsid w:val="00AE6843"/>
    <w:rsid w:val="00AF0023"/>
    <w:rsid w:val="00AF109C"/>
    <w:rsid w:val="00AF2ABA"/>
    <w:rsid w:val="00AF6FC3"/>
    <w:rsid w:val="00B0026F"/>
    <w:rsid w:val="00B02031"/>
    <w:rsid w:val="00B02322"/>
    <w:rsid w:val="00B02564"/>
    <w:rsid w:val="00B028EF"/>
    <w:rsid w:val="00B0317E"/>
    <w:rsid w:val="00B05FDE"/>
    <w:rsid w:val="00B06F0A"/>
    <w:rsid w:val="00B10121"/>
    <w:rsid w:val="00B108D4"/>
    <w:rsid w:val="00B10F0A"/>
    <w:rsid w:val="00B1169D"/>
    <w:rsid w:val="00B13675"/>
    <w:rsid w:val="00B14367"/>
    <w:rsid w:val="00B154FD"/>
    <w:rsid w:val="00B15667"/>
    <w:rsid w:val="00B172BF"/>
    <w:rsid w:val="00B17597"/>
    <w:rsid w:val="00B17C06"/>
    <w:rsid w:val="00B21BF4"/>
    <w:rsid w:val="00B22109"/>
    <w:rsid w:val="00B236CE"/>
    <w:rsid w:val="00B32803"/>
    <w:rsid w:val="00B33471"/>
    <w:rsid w:val="00B33C93"/>
    <w:rsid w:val="00B34CA6"/>
    <w:rsid w:val="00B36058"/>
    <w:rsid w:val="00B406F6"/>
    <w:rsid w:val="00B46201"/>
    <w:rsid w:val="00B4636D"/>
    <w:rsid w:val="00B466E0"/>
    <w:rsid w:val="00B521C5"/>
    <w:rsid w:val="00B527A5"/>
    <w:rsid w:val="00B52869"/>
    <w:rsid w:val="00B53F85"/>
    <w:rsid w:val="00B54B10"/>
    <w:rsid w:val="00B562CB"/>
    <w:rsid w:val="00B5683E"/>
    <w:rsid w:val="00B56DD4"/>
    <w:rsid w:val="00B56E63"/>
    <w:rsid w:val="00B57CAF"/>
    <w:rsid w:val="00B60B5D"/>
    <w:rsid w:val="00B65678"/>
    <w:rsid w:val="00B66DE0"/>
    <w:rsid w:val="00B670BD"/>
    <w:rsid w:val="00B71882"/>
    <w:rsid w:val="00B71EC4"/>
    <w:rsid w:val="00B74BCA"/>
    <w:rsid w:val="00B751C6"/>
    <w:rsid w:val="00B801DA"/>
    <w:rsid w:val="00B81CF2"/>
    <w:rsid w:val="00B81DFC"/>
    <w:rsid w:val="00B83EC5"/>
    <w:rsid w:val="00B84261"/>
    <w:rsid w:val="00B8588B"/>
    <w:rsid w:val="00B85F86"/>
    <w:rsid w:val="00B86732"/>
    <w:rsid w:val="00B87A26"/>
    <w:rsid w:val="00B90034"/>
    <w:rsid w:val="00B913A7"/>
    <w:rsid w:val="00B941A5"/>
    <w:rsid w:val="00B963D0"/>
    <w:rsid w:val="00BA017E"/>
    <w:rsid w:val="00BA0228"/>
    <w:rsid w:val="00BA0BBC"/>
    <w:rsid w:val="00BA613A"/>
    <w:rsid w:val="00BB0421"/>
    <w:rsid w:val="00BB0665"/>
    <w:rsid w:val="00BB3841"/>
    <w:rsid w:val="00BB4615"/>
    <w:rsid w:val="00BB6A91"/>
    <w:rsid w:val="00BC2003"/>
    <w:rsid w:val="00BC2619"/>
    <w:rsid w:val="00BC35EA"/>
    <w:rsid w:val="00BC3F45"/>
    <w:rsid w:val="00BC55E9"/>
    <w:rsid w:val="00BC5A58"/>
    <w:rsid w:val="00BC6E85"/>
    <w:rsid w:val="00BC7DA8"/>
    <w:rsid w:val="00BD0676"/>
    <w:rsid w:val="00BD1DB6"/>
    <w:rsid w:val="00BD34B5"/>
    <w:rsid w:val="00BD3C60"/>
    <w:rsid w:val="00BD4528"/>
    <w:rsid w:val="00BD6097"/>
    <w:rsid w:val="00BD62B4"/>
    <w:rsid w:val="00BD6692"/>
    <w:rsid w:val="00BE1183"/>
    <w:rsid w:val="00BE21CC"/>
    <w:rsid w:val="00BE7935"/>
    <w:rsid w:val="00BF09E5"/>
    <w:rsid w:val="00BF2D73"/>
    <w:rsid w:val="00BF3B3C"/>
    <w:rsid w:val="00BF5930"/>
    <w:rsid w:val="00C03B7D"/>
    <w:rsid w:val="00C03BCA"/>
    <w:rsid w:val="00C0421D"/>
    <w:rsid w:val="00C04461"/>
    <w:rsid w:val="00C140C1"/>
    <w:rsid w:val="00C151AC"/>
    <w:rsid w:val="00C16288"/>
    <w:rsid w:val="00C1787A"/>
    <w:rsid w:val="00C20F2D"/>
    <w:rsid w:val="00C2353A"/>
    <w:rsid w:val="00C26F63"/>
    <w:rsid w:val="00C27319"/>
    <w:rsid w:val="00C30A1A"/>
    <w:rsid w:val="00C33A0F"/>
    <w:rsid w:val="00C34421"/>
    <w:rsid w:val="00C347A6"/>
    <w:rsid w:val="00C37EBE"/>
    <w:rsid w:val="00C40B15"/>
    <w:rsid w:val="00C40B56"/>
    <w:rsid w:val="00C40E34"/>
    <w:rsid w:val="00C428F9"/>
    <w:rsid w:val="00C43082"/>
    <w:rsid w:val="00C45AF1"/>
    <w:rsid w:val="00C51A09"/>
    <w:rsid w:val="00C53823"/>
    <w:rsid w:val="00C566BC"/>
    <w:rsid w:val="00C60DFB"/>
    <w:rsid w:val="00C620F1"/>
    <w:rsid w:val="00C62BE1"/>
    <w:rsid w:val="00C650F9"/>
    <w:rsid w:val="00C700F5"/>
    <w:rsid w:val="00C70C8C"/>
    <w:rsid w:val="00C71064"/>
    <w:rsid w:val="00C74127"/>
    <w:rsid w:val="00C7708F"/>
    <w:rsid w:val="00C7747C"/>
    <w:rsid w:val="00C85A16"/>
    <w:rsid w:val="00C85B55"/>
    <w:rsid w:val="00C85BBE"/>
    <w:rsid w:val="00C85F21"/>
    <w:rsid w:val="00C86488"/>
    <w:rsid w:val="00C86898"/>
    <w:rsid w:val="00C868B1"/>
    <w:rsid w:val="00C8725C"/>
    <w:rsid w:val="00C91973"/>
    <w:rsid w:val="00C91D57"/>
    <w:rsid w:val="00C94ABC"/>
    <w:rsid w:val="00C96500"/>
    <w:rsid w:val="00CA2380"/>
    <w:rsid w:val="00CA315B"/>
    <w:rsid w:val="00CA332D"/>
    <w:rsid w:val="00CA3AE7"/>
    <w:rsid w:val="00CA50AE"/>
    <w:rsid w:val="00CA55D4"/>
    <w:rsid w:val="00CA6E44"/>
    <w:rsid w:val="00CB06A1"/>
    <w:rsid w:val="00CB1064"/>
    <w:rsid w:val="00CB32DC"/>
    <w:rsid w:val="00CB3ECF"/>
    <w:rsid w:val="00CB5342"/>
    <w:rsid w:val="00CB6B47"/>
    <w:rsid w:val="00CC2531"/>
    <w:rsid w:val="00CC274F"/>
    <w:rsid w:val="00CC34A1"/>
    <w:rsid w:val="00CC35AE"/>
    <w:rsid w:val="00CC3E43"/>
    <w:rsid w:val="00CC6027"/>
    <w:rsid w:val="00CD0A2C"/>
    <w:rsid w:val="00CD21F8"/>
    <w:rsid w:val="00CD5DD7"/>
    <w:rsid w:val="00CD75A1"/>
    <w:rsid w:val="00CD7B14"/>
    <w:rsid w:val="00CD7BD0"/>
    <w:rsid w:val="00CD7F99"/>
    <w:rsid w:val="00CE0408"/>
    <w:rsid w:val="00CE14DE"/>
    <w:rsid w:val="00CE1B6C"/>
    <w:rsid w:val="00CE1D4A"/>
    <w:rsid w:val="00CE3339"/>
    <w:rsid w:val="00CE3CA1"/>
    <w:rsid w:val="00CE4A71"/>
    <w:rsid w:val="00CE6556"/>
    <w:rsid w:val="00CF214A"/>
    <w:rsid w:val="00CF39EC"/>
    <w:rsid w:val="00CF65F1"/>
    <w:rsid w:val="00CF65FA"/>
    <w:rsid w:val="00D00CE2"/>
    <w:rsid w:val="00D01DD3"/>
    <w:rsid w:val="00D03183"/>
    <w:rsid w:val="00D04825"/>
    <w:rsid w:val="00D04FFA"/>
    <w:rsid w:val="00D06B5B"/>
    <w:rsid w:val="00D07DEC"/>
    <w:rsid w:val="00D12059"/>
    <w:rsid w:val="00D12E3E"/>
    <w:rsid w:val="00D133B0"/>
    <w:rsid w:val="00D13931"/>
    <w:rsid w:val="00D14360"/>
    <w:rsid w:val="00D22B6E"/>
    <w:rsid w:val="00D237C4"/>
    <w:rsid w:val="00D23F0F"/>
    <w:rsid w:val="00D2458F"/>
    <w:rsid w:val="00D311BD"/>
    <w:rsid w:val="00D317E1"/>
    <w:rsid w:val="00D368EE"/>
    <w:rsid w:val="00D40123"/>
    <w:rsid w:val="00D41E1D"/>
    <w:rsid w:val="00D421CC"/>
    <w:rsid w:val="00D4424D"/>
    <w:rsid w:val="00D50679"/>
    <w:rsid w:val="00D55058"/>
    <w:rsid w:val="00D565E0"/>
    <w:rsid w:val="00D60818"/>
    <w:rsid w:val="00D61866"/>
    <w:rsid w:val="00D636D5"/>
    <w:rsid w:val="00D63B15"/>
    <w:rsid w:val="00D66B17"/>
    <w:rsid w:val="00D70EDA"/>
    <w:rsid w:val="00D7385F"/>
    <w:rsid w:val="00D739DC"/>
    <w:rsid w:val="00D73CD0"/>
    <w:rsid w:val="00D760E6"/>
    <w:rsid w:val="00D80B89"/>
    <w:rsid w:val="00D80E98"/>
    <w:rsid w:val="00D8469E"/>
    <w:rsid w:val="00D84F05"/>
    <w:rsid w:val="00D84F3C"/>
    <w:rsid w:val="00D85039"/>
    <w:rsid w:val="00D866AD"/>
    <w:rsid w:val="00D86FB3"/>
    <w:rsid w:val="00D87498"/>
    <w:rsid w:val="00D877CB"/>
    <w:rsid w:val="00D92F2E"/>
    <w:rsid w:val="00D937C5"/>
    <w:rsid w:val="00D93B8E"/>
    <w:rsid w:val="00D96124"/>
    <w:rsid w:val="00D967A5"/>
    <w:rsid w:val="00D97C48"/>
    <w:rsid w:val="00DA2661"/>
    <w:rsid w:val="00DA2863"/>
    <w:rsid w:val="00DA3BAE"/>
    <w:rsid w:val="00DA420C"/>
    <w:rsid w:val="00DA486D"/>
    <w:rsid w:val="00DA518D"/>
    <w:rsid w:val="00DA55DF"/>
    <w:rsid w:val="00DB11EF"/>
    <w:rsid w:val="00DB2982"/>
    <w:rsid w:val="00DB368D"/>
    <w:rsid w:val="00DB3CCE"/>
    <w:rsid w:val="00DB4E82"/>
    <w:rsid w:val="00DB696F"/>
    <w:rsid w:val="00DB6FF3"/>
    <w:rsid w:val="00DB76CF"/>
    <w:rsid w:val="00DC28AD"/>
    <w:rsid w:val="00DC2CE0"/>
    <w:rsid w:val="00DC2CF4"/>
    <w:rsid w:val="00DC2F87"/>
    <w:rsid w:val="00DC3096"/>
    <w:rsid w:val="00DC64FD"/>
    <w:rsid w:val="00DD32B0"/>
    <w:rsid w:val="00DD5730"/>
    <w:rsid w:val="00DD5AEE"/>
    <w:rsid w:val="00DD6038"/>
    <w:rsid w:val="00DD6C57"/>
    <w:rsid w:val="00DD7991"/>
    <w:rsid w:val="00DD7B80"/>
    <w:rsid w:val="00DE6416"/>
    <w:rsid w:val="00DE7616"/>
    <w:rsid w:val="00DF1A74"/>
    <w:rsid w:val="00DF2159"/>
    <w:rsid w:val="00DF24C5"/>
    <w:rsid w:val="00DF255D"/>
    <w:rsid w:val="00DF3D74"/>
    <w:rsid w:val="00DF68C8"/>
    <w:rsid w:val="00E003E3"/>
    <w:rsid w:val="00E01815"/>
    <w:rsid w:val="00E04ED8"/>
    <w:rsid w:val="00E06312"/>
    <w:rsid w:val="00E06715"/>
    <w:rsid w:val="00E06CD4"/>
    <w:rsid w:val="00E07FF4"/>
    <w:rsid w:val="00E128A8"/>
    <w:rsid w:val="00E12AC6"/>
    <w:rsid w:val="00E14767"/>
    <w:rsid w:val="00E148FD"/>
    <w:rsid w:val="00E17A6E"/>
    <w:rsid w:val="00E22801"/>
    <w:rsid w:val="00E239D5"/>
    <w:rsid w:val="00E23A68"/>
    <w:rsid w:val="00E25992"/>
    <w:rsid w:val="00E25B6D"/>
    <w:rsid w:val="00E273DB"/>
    <w:rsid w:val="00E27B55"/>
    <w:rsid w:val="00E33B55"/>
    <w:rsid w:val="00E33FA3"/>
    <w:rsid w:val="00E34346"/>
    <w:rsid w:val="00E3500D"/>
    <w:rsid w:val="00E40444"/>
    <w:rsid w:val="00E40C1B"/>
    <w:rsid w:val="00E43DD2"/>
    <w:rsid w:val="00E4601D"/>
    <w:rsid w:val="00E5047B"/>
    <w:rsid w:val="00E52187"/>
    <w:rsid w:val="00E5535E"/>
    <w:rsid w:val="00E57047"/>
    <w:rsid w:val="00E570CC"/>
    <w:rsid w:val="00E57BDA"/>
    <w:rsid w:val="00E605EA"/>
    <w:rsid w:val="00E60F9F"/>
    <w:rsid w:val="00E653BD"/>
    <w:rsid w:val="00E65706"/>
    <w:rsid w:val="00E65962"/>
    <w:rsid w:val="00E6598B"/>
    <w:rsid w:val="00E65E00"/>
    <w:rsid w:val="00E66027"/>
    <w:rsid w:val="00E66899"/>
    <w:rsid w:val="00E66C1A"/>
    <w:rsid w:val="00E74525"/>
    <w:rsid w:val="00E759D7"/>
    <w:rsid w:val="00E775EA"/>
    <w:rsid w:val="00E84D3F"/>
    <w:rsid w:val="00E84E42"/>
    <w:rsid w:val="00E86A7E"/>
    <w:rsid w:val="00E878F7"/>
    <w:rsid w:val="00E87ECF"/>
    <w:rsid w:val="00E926FA"/>
    <w:rsid w:val="00E943E5"/>
    <w:rsid w:val="00E948E7"/>
    <w:rsid w:val="00E95509"/>
    <w:rsid w:val="00E9585B"/>
    <w:rsid w:val="00EA27C5"/>
    <w:rsid w:val="00EA3790"/>
    <w:rsid w:val="00EA41E9"/>
    <w:rsid w:val="00EA5E03"/>
    <w:rsid w:val="00EB00CD"/>
    <w:rsid w:val="00EB10CE"/>
    <w:rsid w:val="00EB1E4E"/>
    <w:rsid w:val="00EB1FA3"/>
    <w:rsid w:val="00EB2029"/>
    <w:rsid w:val="00EB2EBE"/>
    <w:rsid w:val="00EB735C"/>
    <w:rsid w:val="00EB7D48"/>
    <w:rsid w:val="00EC088D"/>
    <w:rsid w:val="00EC0DC2"/>
    <w:rsid w:val="00EC1EAB"/>
    <w:rsid w:val="00EC25A8"/>
    <w:rsid w:val="00EC34EA"/>
    <w:rsid w:val="00EC5799"/>
    <w:rsid w:val="00EC5E56"/>
    <w:rsid w:val="00EC6D79"/>
    <w:rsid w:val="00ED0F97"/>
    <w:rsid w:val="00ED3B0D"/>
    <w:rsid w:val="00ED55BB"/>
    <w:rsid w:val="00ED5E32"/>
    <w:rsid w:val="00ED6001"/>
    <w:rsid w:val="00EE02DA"/>
    <w:rsid w:val="00EE0327"/>
    <w:rsid w:val="00EE0DDA"/>
    <w:rsid w:val="00EE1511"/>
    <w:rsid w:val="00EE1BF5"/>
    <w:rsid w:val="00EE1F4D"/>
    <w:rsid w:val="00EE2AF3"/>
    <w:rsid w:val="00EE38E9"/>
    <w:rsid w:val="00EF2F73"/>
    <w:rsid w:val="00EF3144"/>
    <w:rsid w:val="00EF526A"/>
    <w:rsid w:val="00EF52F0"/>
    <w:rsid w:val="00EF5462"/>
    <w:rsid w:val="00EF5630"/>
    <w:rsid w:val="00EF750C"/>
    <w:rsid w:val="00F00270"/>
    <w:rsid w:val="00F01C1A"/>
    <w:rsid w:val="00F021D1"/>
    <w:rsid w:val="00F023BE"/>
    <w:rsid w:val="00F02F3F"/>
    <w:rsid w:val="00F04048"/>
    <w:rsid w:val="00F04BB1"/>
    <w:rsid w:val="00F04D0B"/>
    <w:rsid w:val="00F05F75"/>
    <w:rsid w:val="00F0622E"/>
    <w:rsid w:val="00F066D4"/>
    <w:rsid w:val="00F07D42"/>
    <w:rsid w:val="00F134C8"/>
    <w:rsid w:val="00F16533"/>
    <w:rsid w:val="00F16933"/>
    <w:rsid w:val="00F17018"/>
    <w:rsid w:val="00F17B22"/>
    <w:rsid w:val="00F2084D"/>
    <w:rsid w:val="00F20B32"/>
    <w:rsid w:val="00F24945"/>
    <w:rsid w:val="00F24A4F"/>
    <w:rsid w:val="00F24CF7"/>
    <w:rsid w:val="00F3201C"/>
    <w:rsid w:val="00F32701"/>
    <w:rsid w:val="00F32C12"/>
    <w:rsid w:val="00F32D77"/>
    <w:rsid w:val="00F33217"/>
    <w:rsid w:val="00F33996"/>
    <w:rsid w:val="00F351A2"/>
    <w:rsid w:val="00F35693"/>
    <w:rsid w:val="00F376F6"/>
    <w:rsid w:val="00F42317"/>
    <w:rsid w:val="00F44F66"/>
    <w:rsid w:val="00F468F5"/>
    <w:rsid w:val="00F52880"/>
    <w:rsid w:val="00F52CCB"/>
    <w:rsid w:val="00F5519A"/>
    <w:rsid w:val="00F55646"/>
    <w:rsid w:val="00F55A01"/>
    <w:rsid w:val="00F612E4"/>
    <w:rsid w:val="00F62A33"/>
    <w:rsid w:val="00F64622"/>
    <w:rsid w:val="00F64C94"/>
    <w:rsid w:val="00F74211"/>
    <w:rsid w:val="00F757F1"/>
    <w:rsid w:val="00F75B76"/>
    <w:rsid w:val="00F859BC"/>
    <w:rsid w:val="00F91162"/>
    <w:rsid w:val="00F9127B"/>
    <w:rsid w:val="00F9199C"/>
    <w:rsid w:val="00F91AAC"/>
    <w:rsid w:val="00FA0633"/>
    <w:rsid w:val="00FA2130"/>
    <w:rsid w:val="00FA343B"/>
    <w:rsid w:val="00FA5EA6"/>
    <w:rsid w:val="00FA5EC6"/>
    <w:rsid w:val="00FA6183"/>
    <w:rsid w:val="00FA6A1C"/>
    <w:rsid w:val="00FB057B"/>
    <w:rsid w:val="00FB3259"/>
    <w:rsid w:val="00FB3D3B"/>
    <w:rsid w:val="00FB42EC"/>
    <w:rsid w:val="00FB7F5C"/>
    <w:rsid w:val="00FB7FFB"/>
    <w:rsid w:val="00FC0977"/>
    <w:rsid w:val="00FC0C4B"/>
    <w:rsid w:val="00FC192A"/>
    <w:rsid w:val="00FC2752"/>
    <w:rsid w:val="00FC4425"/>
    <w:rsid w:val="00FC4703"/>
    <w:rsid w:val="00FC4B4F"/>
    <w:rsid w:val="00FC52AA"/>
    <w:rsid w:val="00FC57C5"/>
    <w:rsid w:val="00FC59F9"/>
    <w:rsid w:val="00FC66D8"/>
    <w:rsid w:val="00FD025F"/>
    <w:rsid w:val="00FD65E7"/>
    <w:rsid w:val="00FD6720"/>
    <w:rsid w:val="00FD680D"/>
    <w:rsid w:val="00FE104E"/>
    <w:rsid w:val="00FE14D5"/>
    <w:rsid w:val="00FE1A0F"/>
    <w:rsid w:val="00FE31FC"/>
    <w:rsid w:val="00FE38FF"/>
    <w:rsid w:val="00FE4EB7"/>
    <w:rsid w:val="00FE52E2"/>
    <w:rsid w:val="00FE55B2"/>
    <w:rsid w:val="00FE6087"/>
    <w:rsid w:val="00FE63E6"/>
    <w:rsid w:val="00FE65E6"/>
    <w:rsid w:val="00FF27C5"/>
    <w:rsid w:val="00FF3DE3"/>
    <w:rsid w:val="00FF4297"/>
    <w:rsid w:val="00FF458E"/>
    <w:rsid w:val="00FF508F"/>
    <w:rsid w:val="00FF50AC"/>
    <w:rsid w:val="00FF6B3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colormru v:ext="edit" colors="#d31145,#fffddf,#ffecd6"/>
    </o:shapedefaults>
    <o:shapelayout v:ext="edit">
      <o:idmap v:ext="edit" data="1"/>
    </o:shapelayout>
  </w:shapeDefaults>
  <w:decimalSymbol w:val="."/>
  <w:listSeparator w:val=","/>
  <w14:docId w14:val="18FAFE3E"/>
  <w15:docId w15:val="{1A644C6A-88D1-4EBC-8EE4-FE58C9A0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2749">
      <w:bodyDiv w:val="1"/>
      <w:marLeft w:val="0"/>
      <w:marRight w:val="0"/>
      <w:marTop w:val="0"/>
      <w:marBottom w:val="0"/>
      <w:divBdr>
        <w:top w:val="none" w:sz="0" w:space="0" w:color="auto"/>
        <w:left w:val="none" w:sz="0" w:space="0" w:color="auto"/>
        <w:bottom w:val="none" w:sz="0" w:space="0" w:color="auto"/>
        <w:right w:val="none" w:sz="0" w:space="0" w:color="auto"/>
      </w:divBdr>
    </w:div>
    <w:div w:id="115412763">
      <w:bodyDiv w:val="1"/>
      <w:marLeft w:val="0"/>
      <w:marRight w:val="0"/>
      <w:marTop w:val="0"/>
      <w:marBottom w:val="0"/>
      <w:divBdr>
        <w:top w:val="none" w:sz="0" w:space="0" w:color="auto"/>
        <w:left w:val="none" w:sz="0" w:space="0" w:color="auto"/>
        <w:bottom w:val="none" w:sz="0" w:space="0" w:color="auto"/>
        <w:right w:val="none" w:sz="0" w:space="0" w:color="auto"/>
      </w:divBdr>
    </w:div>
    <w:div w:id="123275838">
      <w:bodyDiv w:val="1"/>
      <w:marLeft w:val="0"/>
      <w:marRight w:val="0"/>
      <w:marTop w:val="0"/>
      <w:marBottom w:val="0"/>
      <w:divBdr>
        <w:top w:val="none" w:sz="0" w:space="0" w:color="auto"/>
        <w:left w:val="none" w:sz="0" w:space="0" w:color="auto"/>
        <w:bottom w:val="none" w:sz="0" w:space="0" w:color="auto"/>
        <w:right w:val="none" w:sz="0" w:space="0" w:color="auto"/>
      </w:divBdr>
    </w:div>
    <w:div w:id="147133489">
      <w:bodyDiv w:val="1"/>
      <w:marLeft w:val="0"/>
      <w:marRight w:val="0"/>
      <w:marTop w:val="0"/>
      <w:marBottom w:val="0"/>
      <w:divBdr>
        <w:top w:val="none" w:sz="0" w:space="0" w:color="auto"/>
        <w:left w:val="none" w:sz="0" w:space="0" w:color="auto"/>
        <w:bottom w:val="none" w:sz="0" w:space="0" w:color="auto"/>
        <w:right w:val="none" w:sz="0" w:space="0" w:color="auto"/>
      </w:divBdr>
    </w:div>
    <w:div w:id="151415362">
      <w:bodyDiv w:val="1"/>
      <w:marLeft w:val="0"/>
      <w:marRight w:val="0"/>
      <w:marTop w:val="0"/>
      <w:marBottom w:val="0"/>
      <w:divBdr>
        <w:top w:val="none" w:sz="0" w:space="0" w:color="auto"/>
        <w:left w:val="none" w:sz="0" w:space="0" w:color="auto"/>
        <w:bottom w:val="none" w:sz="0" w:space="0" w:color="auto"/>
        <w:right w:val="none" w:sz="0" w:space="0" w:color="auto"/>
      </w:divBdr>
    </w:div>
    <w:div w:id="167865329">
      <w:bodyDiv w:val="1"/>
      <w:marLeft w:val="0"/>
      <w:marRight w:val="0"/>
      <w:marTop w:val="0"/>
      <w:marBottom w:val="0"/>
      <w:divBdr>
        <w:top w:val="none" w:sz="0" w:space="0" w:color="auto"/>
        <w:left w:val="none" w:sz="0" w:space="0" w:color="auto"/>
        <w:bottom w:val="none" w:sz="0" w:space="0" w:color="auto"/>
        <w:right w:val="none" w:sz="0" w:space="0" w:color="auto"/>
      </w:divBdr>
    </w:div>
    <w:div w:id="176624493">
      <w:bodyDiv w:val="1"/>
      <w:marLeft w:val="0"/>
      <w:marRight w:val="0"/>
      <w:marTop w:val="0"/>
      <w:marBottom w:val="0"/>
      <w:divBdr>
        <w:top w:val="none" w:sz="0" w:space="0" w:color="auto"/>
        <w:left w:val="none" w:sz="0" w:space="0" w:color="auto"/>
        <w:bottom w:val="none" w:sz="0" w:space="0" w:color="auto"/>
        <w:right w:val="none" w:sz="0" w:space="0" w:color="auto"/>
      </w:divBdr>
    </w:div>
    <w:div w:id="192815757">
      <w:bodyDiv w:val="1"/>
      <w:marLeft w:val="0"/>
      <w:marRight w:val="0"/>
      <w:marTop w:val="0"/>
      <w:marBottom w:val="0"/>
      <w:divBdr>
        <w:top w:val="none" w:sz="0" w:space="0" w:color="auto"/>
        <w:left w:val="none" w:sz="0" w:space="0" w:color="auto"/>
        <w:bottom w:val="none" w:sz="0" w:space="0" w:color="auto"/>
        <w:right w:val="none" w:sz="0" w:space="0" w:color="auto"/>
      </w:divBdr>
    </w:div>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243491178">
      <w:bodyDiv w:val="1"/>
      <w:marLeft w:val="0"/>
      <w:marRight w:val="0"/>
      <w:marTop w:val="0"/>
      <w:marBottom w:val="0"/>
      <w:divBdr>
        <w:top w:val="none" w:sz="0" w:space="0" w:color="auto"/>
        <w:left w:val="none" w:sz="0" w:space="0" w:color="auto"/>
        <w:bottom w:val="none" w:sz="0" w:space="0" w:color="auto"/>
        <w:right w:val="none" w:sz="0" w:space="0" w:color="auto"/>
      </w:divBdr>
    </w:div>
    <w:div w:id="269624534">
      <w:bodyDiv w:val="1"/>
      <w:marLeft w:val="0"/>
      <w:marRight w:val="0"/>
      <w:marTop w:val="0"/>
      <w:marBottom w:val="0"/>
      <w:divBdr>
        <w:top w:val="none" w:sz="0" w:space="0" w:color="auto"/>
        <w:left w:val="none" w:sz="0" w:space="0" w:color="auto"/>
        <w:bottom w:val="none" w:sz="0" w:space="0" w:color="auto"/>
        <w:right w:val="none" w:sz="0" w:space="0" w:color="auto"/>
      </w:divBdr>
    </w:div>
    <w:div w:id="269821521">
      <w:bodyDiv w:val="1"/>
      <w:marLeft w:val="0"/>
      <w:marRight w:val="0"/>
      <w:marTop w:val="0"/>
      <w:marBottom w:val="0"/>
      <w:divBdr>
        <w:top w:val="none" w:sz="0" w:space="0" w:color="auto"/>
        <w:left w:val="none" w:sz="0" w:space="0" w:color="auto"/>
        <w:bottom w:val="none" w:sz="0" w:space="0" w:color="auto"/>
        <w:right w:val="none" w:sz="0" w:space="0" w:color="auto"/>
      </w:divBdr>
    </w:div>
    <w:div w:id="348487143">
      <w:bodyDiv w:val="1"/>
      <w:marLeft w:val="0"/>
      <w:marRight w:val="0"/>
      <w:marTop w:val="0"/>
      <w:marBottom w:val="0"/>
      <w:divBdr>
        <w:top w:val="none" w:sz="0" w:space="0" w:color="auto"/>
        <w:left w:val="none" w:sz="0" w:space="0" w:color="auto"/>
        <w:bottom w:val="none" w:sz="0" w:space="0" w:color="auto"/>
        <w:right w:val="none" w:sz="0" w:space="0" w:color="auto"/>
      </w:divBdr>
    </w:div>
    <w:div w:id="389502794">
      <w:bodyDiv w:val="1"/>
      <w:marLeft w:val="0"/>
      <w:marRight w:val="0"/>
      <w:marTop w:val="0"/>
      <w:marBottom w:val="0"/>
      <w:divBdr>
        <w:top w:val="none" w:sz="0" w:space="0" w:color="auto"/>
        <w:left w:val="none" w:sz="0" w:space="0" w:color="auto"/>
        <w:bottom w:val="none" w:sz="0" w:space="0" w:color="auto"/>
        <w:right w:val="none" w:sz="0" w:space="0" w:color="auto"/>
      </w:divBdr>
    </w:div>
    <w:div w:id="393625881">
      <w:bodyDiv w:val="1"/>
      <w:marLeft w:val="0"/>
      <w:marRight w:val="0"/>
      <w:marTop w:val="0"/>
      <w:marBottom w:val="0"/>
      <w:divBdr>
        <w:top w:val="none" w:sz="0" w:space="0" w:color="auto"/>
        <w:left w:val="none" w:sz="0" w:space="0" w:color="auto"/>
        <w:bottom w:val="none" w:sz="0" w:space="0" w:color="auto"/>
        <w:right w:val="none" w:sz="0" w:space="0" w:color="auto"/>
      </w:divBdr>
    </w:div>
    <w:div w:id="413204596">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47511147">
      <w:bodyDiv w:val="1"/>
      <w:marLeft w:val="0"/>
      <w:marRight w:val="0"/>
      <w:marTop w:val="0"/>
      <w:marBottom w:val="0"/>
      <w:divBdr>
        <w:top w:val="none" w:sz="0" w:space="0" w:color="auto"/>
        <w:left w:val="none" w:sz="0" w:space="0" w:color="auto"/>
        <w:bottom w:val="none" w:sz="0" w:space="0" w:color="auto"/>
        <w:right w:val="none" w:sz="0" w:space="0" w:color="auto"/>
      </w:divBdr>
    </w:div>
    <w:div w:id="447893621">
      <w:bodyDiv w:val="1"/>
      <w:marLeft w:val="0"/>
      <w:marRight w:val="0"/>
      <w:marTop w:val="0"/>
      <w:marBottom w:val="0"/>
      <w:divBdr>
        <w:top w:val="none" w:sz="0" w:space="0" w:color="auto"/>
        <w:left w:val="none" w:sz="0" w:space="0" w:color="auto"/>
        <w:bottom w:val="none" w:sz="0" w:space="0" w:color="auto"/>
        <w:right w:val="none" w:sz="0" w:space="0" w:color="auto"/>
      </w:divBdr>
    </w:div>
    <w:div w:id="477191119">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493911118">
      <w:bodyDiv w:val="1"/>
      <w:marLeft w:val="0"/>
      <w:marRight w:val="0"/>
      <w:marTop w:val="0"/>
      <w:marBottom w:val="0"/>
      <w:divBdr>
        <w:top w:val="none" w:sz="0" w:space="0" w:color="auto"/>
        <w:left w:val="none" w:sz="0" w:space="0" w:color="auto"/>
        <w:bottom w:val="none" w:sz="0" w:space="0" w:color="auto"/>
        <w:right w:val="none" w:sz="0" w:space="0" w:color="auto"/>
      </w:divBdr>
    </w:div>
    <w:div w:id="497117061">
      <w:bodyDiv w:val="1"/>
      <w:marLeft w:val="0"/>
      <w:marRight w:val="0"/>
      <w:marTop w:val="0"/>
      <w:marBottom w:val="0"/>
      <w:divBdr>
        <w:top w:val="none" w:sz="0" w:space="0" w:color="auto"/>
        <w:left w:val="none" w:sz="0" w:space="0" w:color="auto"/>
        <w:bottom w:val="none" w:sz="0" w:space="0" w:color="auto"/>
        <w:right w:val="none" w:sz="0" w:space="0" w:color="auto"/>
      </w:divBdr>
    </w:div>
    <w:div w:id="504172837">
      <w:bodyDiv w:val="1"/>
      <w:marLeft w:val="0"/>
      <w:marRight w:val="0"/>
      <w:marTop w:val="0"/>
      <w:marBottom w:val="0"/>
      <w:divBdr>
        <w:top w:val="none" w:sz="0" w:space="0" w:color="auto"/>
        <w:left w:val="none" w:sz="0" w:space="0" w:color="auto"/>
        <w:bottom w:val="none" w:sz="0" w:space="0" w:color="auto"/>
        <w:right w:val="none" w:sz="0" w:space="0" w:color="auto"/>
      </w:divBdr>
    </w:div>
    <w:div w:id="555775224">
      <w:bodyDiv w:val="1"/>
      <w:marLeft w:val="0"/>
      <w:marRight w:val="0"/>
      <w:marTop w:val="0"/>
      <w:marBottom w:val="0"/>
      <w:divBdr>
        <w:top w:val="none" w:sz="0" w:space="0" w:color="auto"/>
        <w:left w:val="none" w:sz="0" w:space="0" w:color="auto"/>
        <w:bottom w:val="none" w:sz="0" w:space="0" w:color="auto"/>
        <w:right w:val="none" w:sz="0" w:space="0" w:color="auto"/>
      </w:divBdr>
    </w:div>
    <w:div w:id="640303645">
      <w:bodyDiv w:val="1"/>
      <w:marLeft w:val="0"/>
      <w:marRight w:val="0"/>
      <w:marTop w:val="0"/>
      <w:marBottom w:val="0"/>
      <w:divBdr>
        <w:top w:val="none" w:sz="0" w:space="0" w:color="auto"/>
        <w:left w:val="none" w:sz="0" w:space="0" w:color="auto"/>
        <w:bottom w:val="none" w:sz="0" w:space="0" w:color="auto"/>
        <w:right w:val="none" w:sz="0" w:space="0" w:color="auto"/>
      </w:divBdr>
    </w:div>
    <w:div w:id="678889801">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701517783">
      <w:bodyDiv w:val="1"/>
      <w:marLeft w:val="0"/>
      <w:marRight w:val="0"/>
      <w:marTop w:val="0"/>
      <w:marBottom w:val="0"/>
      <w:divBdr>
        <w:top w:val="none" w:sz="0" w:space="0" w:color="auto"/>
        <w:left w:val="none" w:sz="0" w:space="0" w:color="auto"/>
        <w:bottom w:val="none" w:sz="0" w:space="0" w:color="auto"/>
        <w:right w:val="none" w:sz="0" w:space="0" w:color="auto"/>
      </w:divBdr>
    </w:div>
    <w:div w:id="739448246">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49690713">
      <w:bodyDiv w:val="1"/>
      <w:marLeft w:val="0"/>
      <w:marRight w:val="0"/>
      <w:marTop w:val="0"/>
      <w:marBottom w:val="0"/>
      <w:divBdr>
        <w:top w:val="none" w:sz="0" w:space="0" w:color="auto"/>
        <w:left w:val="none" w:sz="0" w:space="0" w:color="auto"/>
        <w:bottom w:val="none" w:sz="0" w:space="0" w:color="auto"/>
        <w:right w:val="none" w:sz="0" w:space="0" w:color="auto"/>
      </w:divBdr>
    </w:div>
    <w:div w:id="765882072">
      <w:bodyDiv w:val="1"/>
      <w:marLeft w:val="0"/>
      <w:marRight w:val="0"/>
      <w:marTop w:val="0"/>
      <w:marBottom w:val="0"/>
      <w:divBdr>
        <w:top w:val="none" w:sz="0" w:space="0" w:color="auto"/>
        <w:left w:val="none" w:sz="0" w:space="0" w:color="auto"/>
        <w:bottom w:val="none" w:sz="0" w:space="0" w:color="auto"/>
        <w:right w:val="none" w:sz="0" w:space="0" w:color="auto"/>
      </w:divBdr>
    </w:div>
    <w:div w:id="782771387">
      <w:bodyDiv w:val="1"/>
      <w:marLeft w:val="0"/>
      <w:marRight w:val="0"/>
      <w:marTop w:val="0"/>
      <w:marBottom w:val="0"/>
      <w:divBdr>
        <w:top w:val="none" w:sz="0" w:space="0" w:color="auto"/>
        <w:left w:val="none" w:sz="0" w:space="0" w:color="auto"/>
        <w:bottom w:val="none" w:sz="0" w:space="0" w:color="auto"/>
        <w:right w:val="none" w:sz="0" w:space="0" w:color="auto"/>
      </w:divBdr>
    </w:div>
    <w:div w:id="784689365">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804542718">
      <w:bodyDiv w:val="1"/>
      <w:marLeft w:val="0"/>
      <w:marRight w:val="0"/>
      <w:marTop w:val="0"/>
      <w:marBottom w:val="0"/>
      <w:divBdr>
        <w:top w:val="none" w:sz="0" w:space="0" w:color="auto"/>
        <w:left w:val="none" w:sz="0" w:space="0" w:color="auto"/>
        <w:bottom w:val="none" w:sz="0" w:space="0" w:color="auto"/>
        <w:right w:val="none" w:sz="0" w:space="0" w:color="auto"/>
      </w:divBdr>
    </w:div>
    <w:div w:id="859780182">
      <w:bodyDiv w:val="1"/>
      <w:marLeft w:val="0"/>
      <w:marRight w:val="0"/>
      <w:marTop w:val="0"/>
      <w:marBottom w:val="0"/>
      <w:divBdr>
        <w:top w:val="none" w:sz="0" w:space="0" w:color="auto"/>
        <w:left w:val="none" w:sz="0" w:space="0" w:color="auto"/>
        <w:bottom w:val="none" w:sz="0" w:space="0" w:color="auto"/>
        <w:right w:val="none" w:sz="0" w:space="0" w:color="auto"/>
      </w:divBdr>
    </w:div>
    <w:div w:id="864827807">
      <w:bodyDiv w:val="1"/>
      <w:marLeft w:val="0"/>
      <w:marRight w:val="0"/>
      <w:marTop w:val="0"/>
      <w:marBottom w:val="0"/>
      <w:divBdr>
        <w:top w:val="none" w:sz="0" w:space="0" w:color="auto"/>
        <w:left w:val="none" w:sz="0" w:space="0" w:color="auto"/>
        <w:bottom w:val="none" w:sz="0" w:space="0" w:color="auto"/>
        <w:right w:val="none" w:sz="0" w:space="0" w:color="auto"/>
      </w:divBdr>
    </w:div>
    <w:div w:id="890338445">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10583437">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968390153">
      <w:bodyDiv w:val="1"/>
      <w:marLeft w:val="0"/>
      <w:marRight w:val="0"/>
      <w:marTop w:val="0"/>
      <w:marBottom w:val="0"/>
      <w:divBdr>
        <w:top w:val="none" w:sz="0" w:space="0" w:color="auto"/>
        <w:left w:val="none" w:sz="0" w:space="0" w:color="auto"/>
        <w:bottom w:val="none" w:sz="0" w:space="0" w:color="auto"/>
        <w:right w:val="none" w:sz="0" w:space="0" w:color="auto"/>
      </w:divBdr>
    </w:div>
    <w:div w:id="995300048">
      <w:bodyDiv w:val="1"/>
      <w:marLeft w:val="0"/>
      <w:marRight w:val="0"/>
      <w:marTop w:val="0"/>
      <w:marBottom w:val="0"/>
      <w:divBdr>
        <w:top w:val="none" w:sz="0" w:space="0" w:color="auto"/>
        <w:left w:val="none" w:sz="0" w:space="0" w:color="auto"/>
        <w:bottom w:val="none" w:sz="0" w:space="0" w:color="auto"/>
        <w:right w:val="none" w:sz="0" w:space="0" w:color="auto"/>
      </w:divBdr>
    </w:div>
    <w:div w:id="996962009">
      <w:bodyDiv w:val="1"/>
      <w:marLeft w:val="0"/>
      <w:marRight w:val="0"/>
      <w:marTop w:val="0"/>
      <w:marBottom w:val="0"/>
      <w:divBdr>
        <w:top w:val="none" w:sz="0" w:space="0" w:color="auto"/>
        <w:left w:val="none" w:sz="0" w:space="0" w:color="auto"/>
        <w:bottom w:val="none" w:sz="0" w:space="0" w:color="auto"/>
        <w:right w:val="none" w:sz="0" w:space="0" w:color="auto"/>
      </w:divBdr>
    </w:div>
    <w:div w:id="1016032895">
      <w:bodyDiv w:val="1"/>
      <w:marLeft w:val="0"/>
      <w:marRight w:val="0"/>
      <w:marTop w:val="0"/>
      <w:marBottom w:val="0"/>
      <w:divBdr>
        <w:top w:val="none" w:sz="0" w:space="0" w:color="auto"/>
        <w:left w:val="none" w:sz="0" w:space="0" w:color="auto"/>
        <w:bottom w:val="none" w:sz="0" w:space="0" w:color="auto"/>
        <w:right w:val="none" w:sz="0" w:space="0" w:color="auto"/>
      </w:divBdr>
    </w:div>
    <w:div w:id="1019698684">
      <w:bodyDiv w:val="1"/>
      <w:marLeft w:val="0"/>
      <w:marRight w:val="0"/>
      <w:marTop w:val="0"/>
      <w:marBottom w:val="0"/>
      <w:divBdr>
        <w:top w:val="none" w:sz="0" w:space="0" w:color="auto"/>
        <w:left w:val="none" w:sz="0" w:space="0" w:color="auto"/>
        <w:bottom w:val="none" w:sz="0" w:space="0" w:color="auto"/>
        <w:right w:val="none" w:sz="0" w:space="0" w:color="auto"/>
      </w:divBdr>
    </w:div>
    <w:div w:id="1026293905">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52387455">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088497319">
      <w:bodyDiv w:val="1"/>
      <w:marLeft w:val="0"/>
      <w:marRight w:val="0"/>
      <w:marTop w:val="0"/>
      <w:marBottom w:val="0"/>
      <w:divBdr>
        <w:top w:val="none" w:sz="0" w:space="0" w:color="auto"/>
        <w:left w:val="none" w:sz="0" w:space="0" w:color="auto"/>
        <w:bottom w:val="none" w:sz="0" w:space="0" w:color="auto"/>
        <w:right w:val="none" w:sz="0" w:space="0" w:color="auto"/>
      </w:divBdr>
    </w:div>
    <w:div w:id="1110274831">
      <w:bodyDiv w:val="1"/>
      <w:marLeft w:val="0"/>
      <w:marRight w:val="0"/>
      <w:marTop w:val="0"/>
      <w:marBottom w:val="0"/>
      <w:divBdr>
        <w:top w:val="none" w:sz="0" w:space="0" w:color="auto"/>
        <w:left w:val="none" w:sz="0" w:space="0" w:color="auto"/>
        <w:bottom w:val="none" w:sz="0" w:space="0" w:color="auto"/>
        <w:right w:val="none" w:sz="0" w:space="0" w:color="auto"/>
      </w:divBdr>
    </w:div>
    <w:div w:id="1113862224">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148936922">
      <w:bodyDiv w:val="1"/>
      <w:marLeft w:val="0"/>
      <w:marRight w:val="0"/>
      <w:marTop w:val="0"/>
      <w:marBottom w:val="0"/>
      <w:divBdr>
        <w:top w:val="none" w:sz="0" w:space="0" w:color="auto"/>
        <w:left w:val="none" w:sz="0" w:space="0" w:color="auto"/>
        <w:bottom w:val="none" w:sz="0" w:space="0" w:color="auto"/>
        <w:right w:val="none" w:sz="0" w:space="0" w:color="auto"/>
      </w:divBdr>
    </w:div>
    <w:div w:id="1173029820">
      <w:bodyDiv w:val="1"/>
      <w:marLeft w:val="0"/>
      <w:marRight w:val="0"/>
      <w:marTop w:val="0"/>
      <w:marBottom w:val="0"/>
      <w:divBdr>
        <w:top w:val="none" w:sz="0" w:space="0" w:color="auto"/>
        <w:left w:val="none" w:sz="0" w:space="0" w:color="auto"/>
        <w:bottom w:val="none" w:sz="0" w:space="0" w:color="auto"/>
        <w:right w:val="none" w:sz="0" w:space="0" w:color="auto"/>
      </w:divBdr>
    </w:div>
    <w:div w:id="1173228544">
      <w:bodyDiv w:val="1"/>
      <w:marLeft w:val="0"/>
      <w:marRight w:val="0"/>
      <w:marTop w:val="0"/>
      <w:marBottom w:val="0"/>
      <w:divBdr>
        <w:top w:val="none" w:sz="0" w:space="0" w:color="auto"/>
        <w:left w:val="none" w:sz="0" w:space="0" w:color="auto"/>
        <w:bottom w:val="none" w:sz="0" w:space="0" w:color="auto"/>
        <w:right w:val="none" w:sz="0" w:space="0" w:color="auto"/>
      </w:divBdr>
    </w:div>
    <w:div w:id="1175145831">
      <w:bodyDiv w:val="1"/>
      <w:marLeft w:val="0"/>
      <w:marRight w:val="0"/>
      <w:marTop w:val="0"/>
      <w:marBottom w:val="0"/>
      <w:divBdr>
        <w:top w:val="none" w:sz="0" w:space="0" w:color="auto"/>
        <w:left w:val="none" w:sz="0" w:space="0" w:color="auto"/>
        <w:bottom w:val="none" w:sz="0" w:space="0" w:color="auto"/>
        <w:right w:val="none" w:sz="0" w:space="0" w:color="auto"/>
      </w:divBdr>
    </w:div>
    <w:div w:id="1198203710">
      <w:bodyDiv w:val="1"/>
      <w:marLeft w:val="0"/>
      <w:marRight w:val="0"/>
      <w:marTop w:val="0"/>
      <w:marBottom w:val="0"/>
      <w:divBdr>
        <w:top w:val="none" w:sz="0" w:space="0" w:color="auto"/>
        <w:left w:val="none" w:sz="0" w:space="0" w:color="auto"/>
        <w:bottom w:val="none" w:sz="0" w:space="0" w:color="auto"/>
        <w:right w:val="none" w:sz="0" w:space="0" w:color="auto"/>
      </w:divBdr>
    </w:div>
    <w:div w:id="1234006042">
      <w:bodyDiv w:val="1"/>
      <w:marLeft w:val="0"/>
      <w:marRight w:val="0"/>
      <w:marTop w:val="0"/>
      <w:marBottom w:val="0"/>
      <w:divBdr>
        <w:top w:val="none" w:sz="0" w:space="0" w:color="auto"/>
        <w:left w:val="none" w:sz="0" w:space="0" w:color="auto"/>
        <w:bottom w:val="none" w:sz="0" w:space="0" w:color="auto"/>
        <w:right w:val="none" w:sz="0" w:space="0" w:color="auto"/>
      </w:divBdr>
    </w:div>
    <w:div w:id="1236862348">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68347965">
      <w:bodyDiv w:val="1"/>
      <w:marLeft w:val="0"/>
      <w:marRight w:val="0"/>
      <w:marTop w:val="0"/>
      <w:marBottom w:val="0"/>
      <w:divBdr>
        <w:top w:val="none" w:sz="0" w:space="0" w:color="auto"/>
        <w:left w:val="none" w:sz="0" w:space="0" w:color="auto"/>
        <w:bottom w:val="none" w:sz="0" w:space="0" w:color="auto"/>
        <w:right w:val="none" w:sz="0" w:space="0" w:color="auto"/>
      </w:divBdr>
    </w:div>
    <w:div w:id="1287543029">
      <w:bodyDiv w:val="1"/>
      <w:marLeft w:val="0"/>
      <w:marRight w:val="0"/>
      <w:marTop w:val="0"/>
      <w:marBottom w:val="0"/>
      <w:divBdr>
        <w:top w:val="none" w:sz="0" w:space="0" w:color="auto"/>
        <w:left w:val="none" w:sz="0" w:space="0" w:color="auto"/>
        <w:bottom w:val="none" w:sz="0" w:space="0" w:color="auto"/>
        <w:right w:val="none" w:sz="0" w:space="0" w:color="auto"/>
      </w:divBdr>
    </w:div>
    <w:div w:id="1288469648">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391342000">
      <w:bodyDiv w:val="1"/>
      <w:marLeft w:val="0"/>
      <w:marRight w:val="0"/>
      <w:marTop w:val="0"/>
      <w:marBottom w:val="0"/>
      <w:divBdr>
        <w:top w:val="none" w:sz="0" w:space="0" w:color="auto"/>
        <w:left w:val="none" w:sz="0" w:space="0" w:color="auto"/>
        <w:bottom w:val="none" w:sz="0" w:space="0" w:color="auto"/>
        <w:right w:val="none" w:sz="0" w:space="0" w:color="auto"/>
      </w:divBdr>
    </w:div>
    <w:div w:id="1403261136">
      <w:bodyDiv w:val="1"/>
      <w:marLeft w:val="0"/>
      <w:marRight w:val="0"/>
      <w:marTop w:val="0"/>
      <w:marBottom w:val="0"/>
      <w:divBdr>
        <w:top w:val="none" w:sz="0" w:space="0" w:color="auto"/>
        <w:left w:val="none" w:sz="0" w:space="0" w:color="auto"/>
        <w:bottom w:val="none" w:sz="0" w:space="0" w:color="auto"/>
        <w:right w:val="none" w:sz="0" w:space="0" w:color="auto"/>
      </w:divBdr>
    </w:div>
    <w:div w:id="1440880771">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65343824">
      <w:bodyDiv w:val="1"/>
      <w:marLeft w:val="0"/>
      <w:marRight w:val="0"/>
      <w:marTop w:val="0"/>
      <w:marBottom w:val="0"/>
      <w:divBdr>
        <w:top w:val="none" w:sz="0" w:space="0" w:color="auto"/>
        <w:left w:val="none" w:sz="0" w:space="0" w:color="auto"/>
        <w:bottom w:val="none" w:sz="0" w:space="0" w:color="auto"/>
        <w:right w:val="none" w:sz="0" w:space="0" w:color="auto"/>
      </w:divBdr>
    </w:div>
    <w:div w:id="1493764170">
      <w:bodyDiv w:val="1"/>
      <w:marLeft w:val="0"/>
      <w:marRight w:val="0"/>
      <w:marTop w:val="0"/>
      <w:marBottom w:val="0"/>
      <w:divBdr>
        <w:top w:val="none" w:sz="0" w:space="0" w:color="auto"/>
        <w:left w:val="none" w:sz="0" w:space="0" w:color="auto"/>
        <w:bottom w:val="none" w:sz="0" w:space="0" w:color="auto"/>
        <w:right w:val="none" w:sz="0" w:space="0" w:color="auto"/>
      </w:divBdr>
    </w:div>
    <w:div w:id="1517500024">
      <w:bodyDiv w:val="1"/>
      <w:marLeft w:val="0"/>
      <w:marRight w:val="0"/>
      <w:marTop w:val="0"/>
      <w:marBottom w:val="0"/>
      <w:divBdr>
        <w:top w:val="none" w:sz="0" w:space="0" w:color="auto"/>
        <w:left w:val="none" w:sz="0" w:space="0" w:color="auto"/>
        <w:bottom w:val="none" w:sz="0" w:space="0" w:color="auto"/>
        <w:right w:val="none" w:sz="0" w:space="0" w:color="auto"/>
      </w:divBdr>
    </w:div>
    <w:div w:id="1537624436">
      <w:bodyDiv w:val="1"/>
      <w:marLeft w:val="0"/>
      <w:marRight w:val="0"/>
      <w:marTop w:val="0"/>
      <w:marBottom w:val="0"/>
      <w:divBdr>
        <w:top w:val="none" w:sz="0" w:space="0" w:color="auto"/>
        <w:left w:val="none" w:sz="0" w:space="0" w:color="auto"/>
        <w:bottom w:val="none" w:sz="0" w:space="0" w:color="auto"/>
        <w:right w:val="none" w:sz="0" w:space="0" w:color="auto"/>
      </w:divBdr>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65339715">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607040871">
      <w:bodyDiv w:val="1"/>
      <w:marLeft w:val="0"/>
      <w:marRight w:val="0"/>
      <w:marTop w:val="0"/>
      <w:marBottom w:val="0"/>
      <w:divBdr>
        <w:top w:val="none" w:sz="0" w:space="0" w:color="auto"/>
        <w:left w:val="none" w:sz="0" w:space="0" w:color="auto"/>
        <w:bottom w:val="none" w:sz="0" w:space="0" w:color="auto"/>
        <w:right w:val="none" w:sz="0" w:space="0" w:color="auto"/>
      </w:divBdr>
    </w:div>
    <w:div w:id="1608346556">
      <w:bodyDiv w:val="1"/>
      <w:marLeft w:val="0"/>
      <w:marRight w:val="0"/>
      <w:marTop w:val="0"/>
      <w:marBottom w:val="0"/>
      <w:divBdr>
        <w:top w:val="none" w:sz="0" w:space="0" w:color="auto"/>
        <w:left w:val="none" w:sz="0" w:space="0" w:color="auto"/>
        <w:bottom w:val="none" w:sz="0" w:space="0" w:color="auto"/>
        <w:right w:val="none" w:sz="0" w:space="0" w:color="auto"/>
      </w:divBdr>
    </w:div>
    <w:div w:id="1724022095">
      <w:bodyDiv w:val="1"/>
      <w:marLeft w:val="0"/>
      <w:marRight w:val="0"/>
      <w:marTop w:val="0"/>
      <w:marBottom w:val="0"/>
      <w:divBdr>
        <w:top w:val="none" w:sz="0" w:space="0" w:color="auto"/>
        <w:left w:val="none" w:sz="0" w:space="0" w:color="auto"/>
        <w:bottom w:val="none" w:sz="0" w:space="0" w:color="auto"/>
        <w:right w:val="none" w:sz="0" w:space="0" w:color="auto"/>
      </w:divBdr>
    </w:div>
    <w:div w:id="1725524362">
      <w:bodyDiv w:val="1"/>
      <w:marLeft w:val="0"/>
      <w:marRight w:val="0"/>
      <w:marTop w:val="0"/>
      <w:marBottom w:val="0"/>
      <w:divBdr>
        <w:top w:val="none" w:sz="0" w:space="0" w:color="auto"/>
        <w:left w:val="none" w:sz="0" w:space="0" w:color="auto"/>
        <w:bottom w:val="none" w:sz="0" w:space="0" w:color="auto"/>
        <w:right w:val="none" w:sz="0" w:space="0" w:color="auto"/>
      </w:divBdr>
    </w:div>
    <w:div w:id="1727725957">
      <w:bodyDiv w:val="1"/>
      <w:marLeft w:val="0"/>
      <w:marRight w:val="0"/>
      <w:marTop w:val="0"/>
      <w:marBottom w:val="0"/>
      <w:divBdr>
        <w:top w:val="none" w:sz="0" w:space="0" w:color="auto"/>
        <w:left w:val="none" w:sz="0" w:space="0" w:color="auto"/>
        <w:bottom w:val="none" w:sz="0" w:space="0" w:color="auto"/>
        <w:right w:val="none" w:sz="0" w:space="0" w:color="auto"/>
      </w:divBdr>
    </w:div>
    <w:div w:id="1733578071">
      <w:bodyDiv w:val="1"/>
      <w:marLeft w:val="0"/>
      <w:marRight w:val="0"/>
      <w:marTop w:val="0"/>
      <w:marBottom w:val="0"/>
      <w:divBdr>
        <w:top w:val="none" w:sz="0" w:space="0" w:color="auto"/>
        <w:left w:val="none" w:sz="0" w:space="0" w:color="auto"/>
        <w:bottom w:val="none" w:sz="0" w:space="0" w:color="auto"/>
        <w:right w:val="none" w:sz="0" w:space="0" w:color="auto"/>
      </w:divBdr>
    </w:div>
    <w:div w:id="1780179355">
      <w:bodyDiv w:val="1"/>
      <w:marLeft w:val="0"/>
      <w:marRight w:val="0"/>
      <w:marTop w:val="0"/>
      <w:marBottom w:val="0"/>
      <w:divBdr>
        <w:top w:val="none" w:sz="0" w:space="0" w:color="auto"/>
        <w:left w:val="none" w:sz="0" w:space="0" w:color="auto"/>
        <w:bottom w:val="none" w:sz="0" w:space="0" w:color="auto"/>
        <w:right w:val="none" w:sz="0" w:space="0" w:color="auto"/>
      </w:divBdr>
    </w:div>
    <w:div w:id="1780829051">
      <w:bodyDiv w:val="1"/>
      <w:marLeft w:val="0"/>
      <w:marRight w:val="0"/>
      <w:marTop w:val="0"/>
      <w:marBottom w:val="0"/>
      <w:divBdr>
        <w:top w:val="none" w:sz="0" w:space="0" w:color="auto"/>
        <w:left w:val="none" w:sz="0" w:space="0" w:color="auto"/>
        <w:bottom w:val="none" w:sz="0" w:space="0" w:color="auto"/>
        <w:right w:val="none" w:sz="0" w:space="0" w:color="auto"/>
      </w:divBdr>
    </w:div>
    <w:div w:id="1788237093">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1816137585">
      <w:bodyDiv w:val="1"/>
      <w:marLeft w:val="0"/>
      <w:marRight w:val="0"/>
      <w:marTop w:val="0"/>
      <w:marBottom w:val="0"/>
      <w:divBdr>
        <w:top w:val="none" w:sz="0" w:space="0" w:color="auto"/>
        <w:left w:val="none" w:sz="0" w:space="0" w:color="auto"/>
        <w:bottom w:val="none" w:sz="0" w:space="0" w:color="auto"/>
        <w:right w:val="none" w:sz="0" w:space="0" w:color="auto"/>
      </w:divBdr>
    </w:div>
    <w:div w:id="1862667298">
      <w:bodyDiv w:val="1"/>
      <w:marLeft w:val="0"/>
      <w:marRight w:val="0"/>
      <w:marTop w:val="0"/>
      <w:marBottom w:val="0"/>
      <w:divBdr>
        <w:top w:val="none" w:sz="0" w:space="0" w:color="auto"/>
        <w:left w:val="none" w:sz="0" w:space="0" w:color="auto"/>
        <w:bottom w:val="none" w:sz="0" w:space="0" w:color="auto"/>
        <w:right w:val="none" w:sz="0" w:space="0" w:color="auto"/>
      </w:divBdr>
    </w:div>
    <w:div w:id="1919632326">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18733283">
      <w:bodyDiv w:val="1"/>
      <w:marLeft w:val="0"/>
      <w:marRight w:val="0"/>
      <w:marTop w:val="0"/>
      <w:marBottom w:val="0"/>
      <w:divBdr>
        <w:top w:val="none" w:sz="0" w:space="0" w:color="auto"/>
        <w:left w:val="none" w:sz="0" w:space="0" w:color="auto"/>
        <w:bottom w:val="none" w:sz="0" w:space="0" w:color="auto"/>
        <w:right w:val="none" w:sz="0" w:space="0" w:color="auto"/>
      </w:divBdr>
    </w:div>
    <w:div w:id="2024744567">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 w:id="2045708174">
      <w:bodyDiv w:val="1"/>
      <w:marLeft w:val="0"/>
      <w:marRight w:val="0"/>
      <w:marTop w:val="0"/>
      <w:marBottom w:val="0"/>
      <w:divBdr>
        <w:top w:val="none" w:sz="0" w:space="0" w:color="auto"/>
        <w:left w:val="none" w:sz="0" w:space="0" w:color="auto"/>
        <w:bottom w:val="none" w:sz="0" w:space="0" w:color="auto"/>
        <w:right w:val="none" w:sz="0" w:space="0" w:color="auto"/>
      </w:divBdr>
    </w:div>
    <w:div w:id="2093383339">
      <w:bodyDiv w:val="1"/>
      <w:marLeft w:val="0"/>
      <w:marRight w:val="0"/>
      <w:marTop w:val="0"/>
      <w:marBottom w:val="0"/>
      <w:divBdr>
        <w:top w:val="none" w:sz="0" w:space="0" w:color="auto"/>
        <w:left w:val="none" w:sz="0" w:space="0" w:color="auto"/>
        <w:bottom w:val="none" w:sz="0" w:space="0" w:color="auto"/>
        <w:right w:val="none" w:sz="0" w:space="0" w:color="auto"/>
      </w:divBdr>
    </w:div>
    <w:div w:id="2093549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E5CA1-45E2-43E7-AABF-AED94EED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36</TotalTime>
  <Pages>13</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15532</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tboswell001</dc:creator>
  <cp:keywords/>
  <dc:description/>
  <cp:lastModifiedBy>Lee, Kate</cp:lastModifiedBy>
  <cp:revision>7</cp:revision>
  <cp:lastPrinted>2016-12-19T13:11:00Z</cp:lastPrinted>
  <dcterms:created xsi:type="dcterms:W3CDTF">2017-01-04T17:07:00Z</dcterms:created>
  <dcterms:modified xsi:type="dcterms:W3CDTF">2017-01-06T08:45:00Z</dcterms:modified>
</cp:coreProperties>
</file>